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PE.2016.0072 vom 30. Mai 2016</w:t>
      </w:r>
    </w:p>
    <w:p>
      <w:r>
        <w:t>VD Tribunal cantonal, 2016-05-30, FR</w:t>
      </w:r>
    </w:p>
    <w:p>
      <w:r>
        <w:rPr>
          <w:b/>
        </w:rPr>
        <w:t xml:space="preserve">Quelle: </w:t>
      </w:r>
      <w:r>
        <w:t>https://mcp.opencaselaw.ch/entscheid/vd_omni_PE.2016.0072</w:t>
      </w:r>
    </w:p>
    <w:p>
      <w:r>
        <w:t>FR: VD_OMNI PE.2016.0072 du 30 mai 2016</w:t>
      </w:r>
    </w:p>
    <w:p>
      <w:r>
        <w:t>IT: VD_OMNI PE.2016.0072 del 30 maggio 2016</w:t>
      </w:r>
    </w:p>
    <w:p>
      <w:pPr>
        <w:pStyle w:val="Heading2"/>
      </w:pPr>
      <w:r>
        <w:t>Regeste</w:t>
      </w:r>
    </w:p>
    <w:p>
      <w:r>
        <w:t>X________ c/Service de la population (SPOP) | Recours contre la décision du SPOP déclarant irrecevable et rejetant subsidiairement la demande de réexamen tendant à la prolongation de l'autorisation de séjour d'un ressortissante brésilienne et à l'octroi d'une autorisation de séjour à son fils. Les faits nouveaux invoqués sont que la recourante est en Suisse depuis 2003 (au lieu de 2012) et que son fils est désormais en Suisse et fréquente l'OPTI. Or, les circonstances que la recourante invoque ne permettent pas de retenir qu'elle "ne pouvait pas" – au sens de l'art. 64 al. 2 let. b LPA-VD – invoquer ces faits. Au surplus, il ne s'agit pas de faits pertinents.</w:t>
      </w:r>
    </w:p>
    <w:p>
      <w:pPr>
        <w:pStyle w:val="Heading2"/>
      </w:pPr>
      <w:r>
        <w:t>Erwägungen</w:t>
      </w:r>
    </w:p>
    <w:p>
      <w:r>
        <w:rPr>
          <w:b/>
        </w:rPr>
        <w:t>E. 1</w:t>
      </w:r>
    </w:p>
    <w:p>
      <w:r>
        <w:t>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("echte Noven"),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(cf. arrêt PE.2013.0139 du 5 juin 2013 consid. 2 et les références). La "nouveauté" doit donc se rapporter à la découverte de ces faits, non à leur existence. On peut imaginer qu'une partie trouve après le prononcé de la décision des documents susceptibles d'influencer cette dernière de manière déterminante (EMPL mai 2008, p. 36). Dans ces deux hypothèses, les faits invoqués doivent être "importants", soit de nature à modifier l'état de fait à la base de l'acte attaqué et à aboutir à un résultat différent en fonction d'une appréciation juridique correcte (cf. arrêt PE.2010.0620 du 30 mars 2011 consid. 3a et les références); dans ce cadre, le simple écoulement du temps et une évolution normale de l'intégration en Suisse ne sont pas constitutives d'une modification des circonstances de nature à admettre une reconsidération (TF, arrêt 2A.180/2000 du 14 août 2000 consid. 4c). b)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question des décisions administratives, ni surtout éluder les dispositions légales sur les délais de recours (TF, arrêt 2A.374/2000 du 30 novembre 2000 consid. 3b et les références; arrêt PE.2013.0163 du 11 juillet 2013 consid. 2a et les références).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notamment JAAC 1996, n° 37, c. 1b; Koelz/Haener, op. cit., n° 434, p. 159, application analogique de l'art. 66 al.</w:t>
      </w:r>
    </w:p>
    <w:p>
      <w:r>
        <w:rPr>
          <w:b/>
        </w:rPr>
        <w:t>E. 3</w:t>
      </w:r>
    </w:p>
    <w:p>
      <w:r>
        <w:t>Au vu des considérants qui précèdent, la décision attaquée doit être confirmée. Le recours, manifestement mal fondé, peut être rejeté sans autre mesure d'instruction ou échange d'écritures sur la base de l'art. 82 LPA-VD, aux frais de la recourante qui succombe. L’allocation de dépens n’entre pas en ligne de compte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