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PE.2016.0064 vom 22. März 2016</w:t>
      </w:r>
    </w:p>
    <w:p>
      <w:r>
        <w:t>VD Tribunal cantonal, 2016-03-22, FR</w:t>
      </w:r>
    </w:p>
    <w:p>
      <w:r>
        <w:rPr>
          <w:b/>
        </w:rPr>
        <w:t xml:space="preserve">Quelle: </w:t>
      </w:r>
      <w:r>
        <w:t>https://mcp.opencaselaw.ch/entscheid/vd_omni_PE.2016.0064</w:t>
      </w:r>
    </w:p>
    <w:p>
      <w:r>
        <w:t>FR: VD_OMNI PE.2016.0064 du 22 mars 2016</w:t>
      </w:r>
    </w:p>
    <w:p>
      <w:r>
        <w:t>IT: VD_OMNI PE.2016.0064 del 22 marzo 2016</w:t>
      </w:r>
    </w:p>
    <w:p>
      <w:pPr>
        <w:pStyle w:val="Heading2"/>
      </w:pPr>
      <w:r>
        <w:t>Regeste</w:t>
      </w:r>
    </w:p>
    <w:p>
      <w:r>
        <w:t>X.________/Service de la population (SPOP) | Confirmation de la décision du SPOP, refusant d'octroyer une autorisation de séjour en vue du mariage à un ressortissant marocain séjournant illégalement en Suisse. Compte tenu des quatorze condamnations, essentiellement pour séjour illégal et infractions contre le patrimoine, dont le recourant a fait l'objet en quatre ans, les chances que l'autorisation soit délivrée au recourant après la célébration du mariage ne sont pas significativement plus élevées que celles d'un refus. Rejet du recours, manifestement mal fondé.</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L’objet du litige porte sur le refus de délivrer au recourant une autorisation de séjour provisoire en vue de mariage. a) Selon l'art. 98 al. 4 CC,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 OEC; RS 211.112.2). b) L'art. 14 Cst. et l'art.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3 p. 46; 137 I 351 consid. 3.5 p. 357). Procédant à 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w:t>
      </w:r>
    </w:p>
    <w:p>
      <w:r>
        <w:rPr>
          <w:b/>
        </w:rPr>
        <w:t>E. 3</w:t>
      </w:r>
    </w:p>
    <w:p>
      <w:r>
        <w:t>L'autorité intimée ne prétend pas que le recourant invoquerait abusivement les règles sur le regroupement familial. Il convient dès lors d'examiner si le recourant, une fois marié, pourrait se voir délivrer une autorisation de séjour ou si celle-ci devrait lui être refusée compte tenu de l'existence d'un motif de révocation. a) Selon l'art. 42 al. 1 LEtr, le conjoint d'un ressortissant suisse, ainsi que ses enfants célibataires de moins de 18 ans ont droit à l'octroi d'une autorisation de séjour et à la prolongation de sa durée de validité à condition de vivre en ménage commun avec lui. b) Selon l'art. 62 LEtr l’autorité compétente peut révoquer une autorisation de séjour à l’étranger qui attente de manière grave ou répétée à la sécurité et l'ordre publics en Suisse ou à l'étranger, les met en danger ou représente une menace pour la sécurité intérieure ou extérieure de la Suisse (let. c). Tel est notamment le cas lorsque les actes individuels ne justifient pas en eux-mêmes une révocation mais que leur répétition montre que la personne concernée n'est pas prête à se conformer à l'ordre en vigueur (ATF 2C_915/2010 du 4 mai 2011 consid. 3.2.1; cf. également PE.2015.0212 du 14 décembre 2015 consid. 4c et références citées). c) En l'occurrence, le recourant a fait l'objet de quatorze condamnations en quatre ans, cumulant 630 jours de peine privative de liberté, soit pratiquement deux ans, sans tenir compte des peines pécuniaires. Si le recourant a régulièrement été condamné pour séjour illégal, il a également à son actif plusieurs condamnations pour des infractions contre le patrimoine. Sa relation avec sa fiancée ne l'a pas dissuadé de commettre à nouveau une telle infraction, puisqu'il a encore été condamné pour vol et violation de domicile par ordonnance pénale du 28 août 2015, pour des faits qui se sont déroulés deux jours plus tôt. Dans ces circonstances, on ne peut pas déduire du comportement du recourant une volonté de se conformer désormais à l'ordre public suisse. A cela s'ajoute que le recourant a menti sur sa véritable identité, se présentant tantôt sous le nom de Y.________, ressortissant de Lybie, tantôt sous l'identité de X.________, ressortissant marocain. Pour les mêmes motifs, il y a lieu d'admettre que le recourant, à supposer qu'il soit fondé à invoquer la protection de l'art. 8 CEDH, remplit les conditions posées par l'art. 8 par. 2 CEDH permettant à l'autorité de refuser de lui délivrer une autorisation de séjour. On ne saurait dès lors retenir que les chances que l'autorisation soit délivrée au recourant après la célébration du mariage apparaissent significativement plus élevées que celles d'un refus. Le recourant ne peut dès lors pas prétendre à l'octroi d'une autorisation de séjour en vue du mariage.</w:t>
      </w:r>
    </w:p>
    <w:p>
      <w:r>
        <w:rPr>
          <w:b/>
        </w:rPr>
        <w:t>E. 4</w:t>
      </w:r>
    </w:p>
    <w:p>
      <w:r>
        <w:t>Le recours, manifestement mal fondé, doit ainsi être rejeté. Pour le même motif, la requête d'assistance judiciaire du recourant doit être rejetée (art. 18 al. 1 de la loi du 28 octobre 2008 sur la procédure administrative - LPA-VD; RSV 173.36). Vu les faibles ressources financières du recourant, l'arrêt sera rendu sans frais. Il n'est pas alloué de dépens (art. 49, 50,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