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PE.2016.0051 vom 17. März 2016</w:t>
      </w:r>
    </w:p>
    <w:p>
      <w:r>
        <w:t>VD Tribunal cantonal, 2016-03-17, FR</w:t>
      </w:r>
    </w:p>
    <w:p>
      <w:r>
        <w:rPr>
          <w:b/>
        </w:rPr>
        <w:t xml:space="preserve">Quelle: </w:t>
      </w:r>
      <w:r>
        <w:t>https://mcp.opencaselaw.ch/entscheid/vd_omni_PE.2016.0051</w:t>
      </w:r>
    </w:p>
    <w:p>
      <w:r>
        <w:t>FR: VD_OMNI PE.2016.0051 du 17 mars 2016</w:t>
      </w:r>
    </w:p>
    <w:p>
      <w:r>
        <w:t>IT: VD_OMNI PE.2016.0051 del 17 marzo 2016</w:t>
      </w:r>
    </w:p>
    <w:p>
      <w:pPr>
        <w:pStyle w:val="Heading2"/>
      </w:pPr>
      <w:r>
        <w:t>Regeste</w:t>
      </w:r>
    </w:p>
    <w:p>
      <w:r>
        <w:t>A. X.________/Service de la population (SPOP) | Décision du SPOP révoquant l'autorisation de séjour par regroupement familial d'un étranger dont l'union conjugale avec une ressortissante suisse a duré moins de trois ans. Rejet du recours car pas de raisons personnelles majeures à la poursuite du séjour en Suisse (art. 50 al. 1 let. b LEtr). La bonne intégration professionnelle en Suisse n'est pas déterminante pour établir que la réintégration dans le pays d'origine serait compromise. Demande d'assistance judiciaire rejetée au terme de l'arrêt, rendu selon la procédure de décision immédiate de l'art. 82 LPA-VD. Recours au Tribunal fédéral rejeté (2C_336/2016 du 29 avril 2016)</w:t>
      </w:r>
    </w:p>
    <w:p>
      <w:pPr>
        <w:pStyle w:val="Heading2"/>
      </w:pPr>
      <w:r>
        <w:t>Erwägungen</w:t>
      </w:r>
    </w:p>
    <w:p>
      <w:r>
        <w:rPr>
          <w:b/>
        </w:rPr>
        <w:t>E. 1</w:t>
      </w:r>
    </w:p>
    <w:p>
      <w:r>
        <w:t>Formé en temps utile (art. 95 de la loi du 28 octobre 2008 sur la procédure administrative [LPA-VD; RSV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Le recourant soutient que les conditions au renouvellement de son autorisation de séjour sur la base des art. 30 al. 1 let. b, 50 al. 1 let. b LEtr et 31 de l'ordonnance du 24 octobre 2007 relative à l’admission, au séjour et à l’exercice d’une activité lucrative (OASA; RS 142.201) sont remplies. Aux termes de l'art. 42 al. 1 LEtr, le conjoint étranger d’un ressortissant suisse a droit à l’octroi d’une autorisation de séjour et à la prolongation de sa durée de validité à condition de vivre en ménage commun avec lui. Il n'est pas contesté que la condition du ménage commun n'est plus remplie. Le recourant ne critique donc pas la décision attaquée sur ce point.</w:t>
      </w:r>
    </w:p>
    <w:p>
      <w:r>
        <w:rPr>
          <w:b/>
        </w:rPr>
        <w:t>E. 3</w:t>
      </w:r>
    </w:p>
    <w:p>
      <w:r>
        <w:t>Il reste donc à examiner si l'autorisation de séjour peut être prolongée, après la dissolution de la famille, en application de l'art. 50 LEtr. Comme le rappelle régulièrement le Tribunal fédéral (pour un exemple récent: ATF 2C_1003/2015 du 7 janvier 2016 ), l'art. 50 al. 1 let. b LEtr prévoit qu'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dont dépend le droit de séjour de l'étranger décède (ATF 137 II 345 consid. 3.2.2 p. 349). S'agissant de la réintégration sociale dans le pays de provenance, l'art. 50 al. 2 LEtr exige qu'elle semble fortement compromise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 En l'espèce, le recourant fait valoir que le décès de son père en 2012 l'a laissé orphelin, sans famille et sans héritage, et qu'en cas de retour dans son pays d'origine, il se retrouverait selon toute probabilité dans la rue, n'ayant aucun endroit où vivre ni relations lui permettant d'y trouver du travail. Il ne s'agit manifestement pas là de circonstances constitutives d'une réintégration fortement compromise au sens de l'art. 50 LEtr. Le recourant, âgé de 36 ans, a vécu ses vingt-deux premières années dans son pays d'origine et on ne voit pas ce qui pourrait rendre difficile sa réintégration. Pour le surplus, c'est en vain que le requérant se prévaut de sa bonne intégration professionnelle - certes méritoire - en Suisse. En effet, la question de l'intégration du recourant en Suisse n'est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 ATF 2C_1003/2015 déjà cité, consid. 4.4) . Les griefs du recourant sont donc manifestement mal fondés, de sorte qu'il y a lieu de rendre une décision immédiate, sommairement motivée, sans autre mesure d'instruction (art. 82 LPA-VD, par renvoi de l'art. 99 LPA-VD). Le recours doit ainsi être rejeté, ce qui entraîne la confirmation de la décision attaquée.</w:t>
      </w:r>
    </w:p>
    <w:p>
      <w:r>
        <w:rPr>
          <w:b/>
        </w:rPr>
        <w:t>E. 4</w:t>
      </w:r>
    </w:p>
    <w:p>
      <w:r>
        <w:t>Le recourant demande l’assistance judiciaire comprenant l’exonération de la totalité de l’avance de frais et des frais judiciaires, ainsi que la désignation d’un conseil d’office. Le 20 janvier 2016, il a rempli le formulaire ad hoc, décrivant l’état de ses revenus. a)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et 27 al. 3 Cst/VD; art. 18 de la loi du 28 octobre 2008 sur la procédure administrative - LPA-VD, RSV 173.36; ATF 135 I 1 consid. 7.1 p. 2, 91 consid. 2.4.2.2 p. 96; 134 I 92 consid. 3.2.1 p. 99, et les arrêts cités). b)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il ne l’est pas davantage lorsque les chances de succès et les risques d’échec s’équilibrent à peu près, ou que les premières ne sont que légèrement inférieures aux secondes (ATF 133 III 614 consid. 5 p. 616; 129 I 129 consid. 2.3.1 p. 135/136; 125 II 265 consid. 4b p. 275, et les arrêts cités). c) Au vu du fait que le recours est manifestement mal fondé (cf. consid. 3 ci-dessus), la deuxième condition d’octroi de l’assistance judiciaire n’est pas remplie. La demande d’assistance judiciaire doit ainsi être rejetée.</w:t>
      </w:r>
    </w:p>
    <w:p>
      <w:r>
        <w:rPr>
          <w:b/>
        </w:rPr>
        <w:t>E. 5</w:t>
      </w:r>
    </w:p>
    <w:p>
      <w:r>
        <w:t>Compte tenu de la situation du recourant, le présent arrêt sera néanmoins rendu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