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PE.2016.0040 vom 19. Mai 2016</w:t>
      </w:r>
    </w:p>
    <w:p>
      <w:r>
        <w:t>VD Tribunal cantonal, 2016-05-19, FR</w:t>
      </w:r>
    </w:p>
    <w:p>
      <w:r>
        <w:rPr>
          <w:b/>
        </w:rPr>
        <w:t xml:space="preserve">Quelle: </w:t>
      </w:r>
      <w:r>
        <w:t>https://mcp.opencaselaw.ch/entscheid/vd_omni_PE.2016.0040</w:t>
      </w:r>
    </w:p>
    <w:p>
      <w:r>
        <w:t>FR: VD_OMNI PE.2016.0040 du 19 mai 2016</w:t>
      </w:r>
    </w:p>
    <w:p>
      <w:r>
        <w:t>IT: VD_OMNI PE.2016.0040 del 19 maggio 2016</w:t>
      </w:r>
    </w:p>
    <w:p>
      <w:pPr>
        <w:pStyle w:val="Heading2"/>
      </w:pPr>
      <w:r>
        <w:t>Regeste</w:t>
      </w:r>
    </w:p>
    <w:p>
      <w:r>
        <w:t>A.X.________/Service de la population (SPOP) | Contrairement à ce qu'allègue le recourant, il ne se trouve pas dans un cas d'extrême gravité. La durée de son séjour en Suisse (environ 9 ans) doit être relativisée puisqu'il était en situation illégale. Son intégration sociale et professionnelle est bonne mais pas exceptionnelle. La présence en Suisse de ses frères n'est pas déterminante puisqu'aucun rapport de dépendance n'a été établi. Ainsi, un retour du recourant dans son pays d'origine est parfaitement envisageable. Le recours est donc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se prévaut d’un cas individuel d’extrême gravité au sens de l’art. 30 al. 1 let. b de la loi fédérale sur les étrangers du 16 décembre 2005 (LEtr; RS 142.20) et de l’art. 31 de l'ordonnance du 24 octobre 2007 relative à l'admission, au séjour et à l'exercice d'une activité lucrative (OASA; RS 142.201). a)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 ATF 131 II 339 consid. 1). En l'espèce, le recourant, ressortissant kosovar, ne peut invoquer aucun traité en sa faveur ; le recours s’examine ainsi uniquement au regard du droit interne, soit de la LEtr. b) Les art. 18 à 29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Il est possible de déroger aux conditions d'admission prévues aux art. 18 à 29 LEtr dans le but notamment de tenir compte des cas individuels d'une extrême gravité (art. 30 al. 1 let. b LEtr). Les critères dont il convient de tenir compte pour examiner la notion de cas individuel d'extrême gravité sont précisés à l'art. 31 al. 1 OASA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arrêt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Le Tribunal fédéral a précisé que la longue durée d'un séjour en Suisse n'est pas,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 ATF 130 II 39 consid. 3; ATF 128 II 200 consid. 4 ). c) L'art. 8 CEDH garantit le droit au respect de la vie privée et familiale (par. 1) et prévoit les conditions auxquelles il peut y avoir ingérence dans l'exercice de ce droit (par. 2). Cette garantie est également consacrée à l'art. 13 al. 1 de la Constitution fédérale de la Confédération suisse du 18 avril 1999 (Cst.; RS 101). Selon la jurisprudence,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ATF 136 II 177 consid. 1.2; ATF 2C_639/2012 du 13 février 2013 consid. 1.2.2). Les relations visées par l'art. 8 par. 1 CEDH sont avant tout celles qui existent entre époux, ainsi que les relations entre parents et enfants mineurs vivant en ménage commun (ATF 135 I 143 consid. 1.3.2; ATF 127 II 60 consid. 1d/aa; ATF 2C_40/2012 du 15 octobre 2012 consid. 8). S'agissant d'autres relations entre proches parents, la protection de l'art. 8 par. 1 CEDH suppose que l'étranger se trouve dans un état de dépendance particulier à l'égard du parent ayant le droit de résider en Suisse. Tel est le cas lorsqu'il a besoin d'une attention et de soins que seuls des proches parents sont en mesure de prodiguer. Cela vaut notamment le cas échéant pour les enfants majeurs vis-à-vis de leurs parents résidant en Suisse (ATF 2C_546/2013 du 5 décembre 2013 consid. 4; ATF 129 II 11 consid. 2; ATF 2C_180/2010 du 27 juillet 2010 consid. 2.1). On peut toutefois généralement présumer qu'à partir de dix-huit ans, un jeune adulte est en mesure de vivre de manière indépendante, sauf circonstances particulières telles qu'un handicap ou une maladie grave (ATF 137 I 154 consid. 3.4.2; ATF 120 Ib 257 consid. 1e; ATF 2C_508/2009 du 20 mai 2010 consid. 2.2). Des difficultés économiques ne peuvent pas être comparées à un handicap ou à une maladie grave rendant irremplaçable l'assistance de proches parents (ATF 2A.150/2006 du 4 avril 2006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ATF 2D_139/2008 du 5 mars 2009 consid. 2.2). Ainsi, le droit à une autorisation de séjour au sens de l’art. 8 par. 1 CEDH ne peut pas être invoqué lorsque les objectifs poursuivis par l'étranger ne sont pas la sauvegarde de la famille, mais l'avenir professionnel ou la formation des membres de la famille (cf. ATF 119 Ib 91). La Cour européenne des droits de l'homme (ci-après: CourEDH) subordonne également la protection de l'art. 8 CEDH, s'agissant d'adultes, et notamment d'enfants adultes vis-à-vis de leurs parents, à l'existence de facteurs de dépendance allant au-delà des sentiments d'attachement ordinaires, de sorte que la condition de la relation de dépendance posée par la jurisprudence du Tribunal fédéral est conforme à la pratique des organes conventionnels (ATF 2C_1/2013 du 16 janvier 2013 consid. 3.2.1 et la référence à l'arrêt CourEDH Shala c. Suisse du 15 novembre 2012, n° 52873/09, § 40; ATF 2D_139/2008 du 5 mars 2009 consid. 2.3;). Enfin, le principe de protection de la vie familiale ne confère pas un droit inconditionnel à l’octroi d’une autorisation de séjour. Le droit garanti par l’art. 8 par. 1 CEDH n’est pas absolu; une ingérence est possible selon l’art. 8 par. 2 CEDH. L’application de cet article implique sur ce point une pesée des intérêts en présence et le respect du principe de la proportionnalité (ATF 135 II 377 consid. 4.3). d) S'agissant de la casuistique, le tribunal se montre rigoureux lorsqu'il admet une situation de cas de rigueur. Il l'a en particulier refusé à un péruvien qui pouvait se prévaloir d'une bonne intégration sociale et professionnelle, mais qui n'était cependant pas exceptionnelle et dont le retour dans son pays d'origine ne devait pas lui poser de problème insurmontable (arrêt CDAP PE.2016.0014 du 20 avril 2016). La même conclusion a été prise concernant une ressortissante du Kosovo qui était en séjour illégal en Suisse. Celle-ci avait par ailleurs allégué bénéficier d'un suivi médical en Suisse, qui n'a cependant pas suffi à admettre l'existence d'un cas de rigueur (arrêt CDAP PE.2016.77 du 7 avril 2016). Le tribunal a également refusé le cas de rigueur en faveur d'un couple de ressortissants du Kosovo séjournant en Suisse illégalement, dont l'intégration sociale et professionnelle était bonne mais pas exceptionnelle. La présence de leurs enfants régulièrement scolarisés en Suisse n'avait pas été considérée comme étant une circonstance propre à admettre le contraire (arrêt CDAP PE.2015.190 du 20 janvier 2016). Enfin, le tribunal a refusé d'admettre le cas de rigueur en faveur d'un ressortissant serbe qui prétendait vivre en Suisse depuis 26 ans. Toutefois, au vu des pièces versées au dossier, le tribunal a retenu une durée effective d'une dizaine d'années. Si cette durée est certes importante, elle a toutefois été relativisée puisque la plupart du temps, l'intéressé était en situation illégale (arrêt CDAP PE. 2015.135 du 11 janvier 2016).</w:t>
      </w:r>
    </w:p>
    <w:p>
      <w:r>
        <w:rPr>
          <w:b/>
        </w:rPr>
        <w:t>E. 3</w:t>
      </w:r>
    </w:p>
    <w:p>
      <w:r>
        <w:t>En l’occurrence, le tribunal ne remet pas en doute le fait que le recourant n'ait jamais dépendu de l'aide sociale ni qu'il ait participé à la vie sociétale suisse. Cela étant, ces éléments ne suffisent pas à admettre l'existence d'un cas de rigueur au sens de la jurisprudence précitée. On ne voit en effet pas en quoi le recourant se trouverait dans une détresse personnelle justifiant sa présence en Suisse. Il n’est pas contesté que les opportunités professionnelles au Kosovo sont moindres qu’en Suisse. Toutefois, cela ne le place pas dans une situation plus défavorable que celle de ses compatriotes. Le recourant prétend qu’un retour au Kosovo n’est pas envisageable. Cet argument est mal fondé. On ne voit pas en quoi son retour dans son pays d’origine aurait de graves conséquences, d’autant moins que depuis sa première arrivée en Suisse en 1997, il s’y est fréquemment rendu. Il convient ainsi d’admettre, contrairement ce qu’il soutient, qu’un retour au Kosovo est parfaitement envisageable. La durée du séjour en Suisse du recourant est certes longue (9 ans environ selon les déclarations faites à la police lors de ses différentes interpellations). Il convient néanmoins de préciser que l'intéressé y a toujours été en situation illégale. Celle-là doit dès lors être relativisée, dans la mesure où l’obstination à violer la législation sur les étrangers ne saurait être récompensée. Les relations sociales qu’il a pu nouer pendant cette période et la présence en Suisse de ses frères et de leur famille doivent également être tempérées. S’agissant de sa famille, le recourant n’est pas marié et n’a pas d’enfant. Ses trois frères et leur famille vivent en Suisse; leur présence est toutefois insuffisante pour fonder un droit de séjour. En effet, le recourant n’a ni allégué ni établi être avec ces proches dans un rapport de dépendance qui justifierait sa présence en Suisse. Quant à son intégration sociale, elle peut être qualifiée de bonne. Le recourant semble en effet s’être tissé un réseau d’amitiés et s’être impliqué dans des organisations locales (E._________ et le théâtre F.________). Toutefois, à elles seules, ces circonstances ne suffisent pas à réaliser les conditions de l’art. 30 al. 1 let. b LEtr. Quant à l’intégration professionnelle du recourant, elle n'a rien d'exceptionnel, même si l'intéressé a régulièrement travaillé durant ses séjours en Suisse (selon ses allégations, pour B.________ SA de 1999 à 2011, pour C.Y.________ d'avril à juillet 2012, puis pour D.________ Sàrl depuis le 1 er avril 2014, en sus d'autres employeurs dont il n'a pas révélé le nom), d'autant que, comme il le relève lui-même il n'a pas de qualifications particulière. Enfin, on relève que le recourant a vécu au Kosovo jusqu’à ses 20 ans, que ses parents y demeurent encore et que depuis son arrivée en Suisse, il y est retourné très fréquemment. Un retour ne lui poserait ainsi pas de difficultés insurmontables. Par ailleurs, sa persévérance à séjourner et travailler dans notre pays sans autorisation ne doit être récompensée en aucun cas, le recourant ayant démontré par ce comportement le mépris qu’il avait à l’égard de l’ordre juridique suisse. Au vu de la jurisprudence précitée, il convient d'admettre que l’autorité intimée n’a pas violé la loi, ni abusé de son pouvoir d’appréciation, en refusant au recourant la délivrance d’une autorisation de séjour.</w:t>
      </w:r>
    </w:p>
    <w:p>
      <w:r>
        <w:rPr>
          <w:b/>
        </w:rPr>
        <w:t>E. 4</w:t>
      </w:r>
    </w:p>
    <w:p>
      <w:r>
        <w:t>Le recours doit par conséquent être rejeté et la décision de l’autorité intimée confirmée. Les frais seront mis à la charge du recourant, qui succombe (art. 49, 91 et 99 LPA-VD). Aucun dépens ne sera alloué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