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PE.2016.0020 vom 14. Juni 2016</w:t>
      </w:r>
    </w:p>
    <w:p>
      <w:r>
        <w:t>VD Tribunal cantonal, 2016-06-14, FR</w:t>
      </w:r>
    </w:p>
    <w:p>
      <w:r>
        <w:rPr>
          <w:b/>
        </w:rPr>
        <w:t xml:space="preserve">Quelle: </w:t>
      </w:r>
      <w:r>
        <w:t>https://mcp.opencaselaw.ch/entscheid/vd_omni_PE.2016.0020</w:t>
      </w:r>
    </w:p>
    <w:p>
      <w:r>
        <w:t>FR: VD_OMNI PE.2016.0020 du 14 juin 2016</w:t>
      </w:r>
    </w:p>
    <w:p>
      <w:r>
        <w:t>IT: VD_OMNI PE.2016.0020 del 14 giugno 2016</w:t>
      </w:r>
    </w:p>
    <w:p>
      <w:pPr>
        <w:pStyle w:val="Heading2"/>
      </w:pPr>
      <w:r>
        <w:t>Regeste</w:t>
      </w:r>
    </w:p>
    <w:p>
      <w:r>
        <w:t>X.________, C. Z.________/Service de l'emploi, Contrôle du marché du travail, Service de la population (SPOP) | Le restaurant employant le recourant, ressortissant argentin, en qualité de serveur, n'a pas démontré avoir cherché un candidat sur le marché indigène de l'emploi, violant ainsi l'ordre de priorité de l'art. 21 LEtr. Par ailleurs, les qualifications personnelles du recourant ne correspondent pas aux exigences de l'art. 23 LEtr, de sorte que le recours doit être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Les recourants ont requis, à titre de mesure d'instruction, l'audition de C. Z.________.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Vu les pièces du dossier, le tribunal s'estime suffisamment renseigné sur tous les faits pertinents de la cause, de sorte qu'il n'apparaît pas nécessaire de procéder à l'audition du recourant C. Z.________. Il n'y a dès lors pas lieu de donner suite à ces mesures d'instruction.</w:t>
      </w:r>
    </w:p>
    <w:p>
      <w:r>
        <w:rPr>
          <w:b/>
        </w:rPr>
        <w:t>E. 3</w:t>
      </w:r>
    </w:p>
    <w:p>
      <w:r>
        <w:t>Peuvent être admis, en dérogation aux al. 1 et 2: […] c. les personnes possédant des connaissances ou des capacités professionnelles particulières, si leur admission répond de manière avérée à un besoin; […] ». La référence aux "autres travailleurs qualifiés" de l’al. 1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C-5420/2012 du 15 janvier 2014 consid. 8). Afin d'assurer une pratique uniforme entre les cantons, le Secrétariat d'Etat aux migrations (ci-après: le SEM) a publié des directives intitulées " Domaine des étrangers " (ci-après: les directives), dont il ressort que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(ch.4.3.4 de la directive précitée). Quant à l’art. 23 al. 3 let. c LEtr, il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 ne pouvant pas, ou alors de manière insuffisante, être exécutée par un travailleur en Suisse ou un ressortissant d'un Etat membre de l'Union européenne ou de l'AELE (arrêt du TAF C-5420/2012 précité). c) En l’occurrence, aucun justificatif démontrant que X.________ aurait recherché un candidat sur le marché indigène de l’emploi avant d’engager le recourant n'a été produit. Il convient donc d’admettre que le principe de la priorité du marché indigène n’a pas été respecté. Par ailleurs, si les qualifications personnelles du recourant pour le poste visé ne sont pas remises en cause, elles ne correspondent toutefois pas aux exigences de l’art. 23 LEtr. Il n’y a donc pas lieu d’examiner si l’activité de serveur devrait être considérée comme un domaine où le besoin de main-d’œuvre qualifiée est avéré au sens de l’art. 23 al. 3 let. c LEtr (cf. CDAP PE.2015.284 du 29 février 2016 consid. c; PE.2015.0080 du 9 octobre 2015 consid. 4d). Il découle de ce qui précède que c’est à juste titre que le SDE a refusé de délivrer au recourant l’autorisation de travail sollicitée, puisque ses conditions d’octroi selon les art. 18, 21 et 23 LEtr ne sont pas réalisées.</w:t>
      </w:r>
    </w:p>
    <w:p>
      <w:r>
        <w:rPr>
          <w:b/>
        </w:rPr>
        <w:t>E. 4</w:t>
      </w:r>
    </w:p>
    <w:p>
      <w:r>
        <w:t>Les considérants qui précèdent conduisent au rejet du recours et à la confirmation de la décision attaquée. Les frais seront mis à la charge des recourants, qui succombent (art. 49 LPA-VD).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