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PE.2016.0010 vom 12. September 2016</w:t>
      </w:r>
    </w:p>
    <w:p>
      <w:r>
        <w:t>VD Tribunal cantonal, 2016-09-12, FR</w:t>
      </w:r>
    </w:p>
    <w:p>
      <w:r>
        <w:rPr>
          <w:b/>
        </w:rPr>
        <w:t xml:space="preserve">Quelle: </w:t>
      </w:r>
      <w:r>
        <w:t>https://mcp.opencaselaw.ch/entscheid/vd_omni_PE.2016.0010</w:t>
      </w:r>
    </w:p>
    <w:p>
      <w:r>
        <w:t>FR: VD_OMNI PE.2016.0010 du 12 septembre 2016</w:t>
      </w:r>
    </w:p>
    <w:p>
      <w:r>
        <w:t>IT: VD_OMNI PE.2016.0010 del 12 settembre 2016</w:t>
      </w:r>
    </w:p>
    <w:p>
      <w:pPr>
        <w:pStyle w:val="Heading2"/>
      </w:pPr>
      <w:r>
        <w:t>Regeste</w:t>
      </w:r>
    </w:p>
    <w:p>
      <w:r>
        <w:t>A.________/Service de la population (SPOP) | Confirmation du refus de délivrer à une ressortissante chinoise une autorisation de séjour afin qu'elle puisse vivre aux côtés de sa fille et de son beau-fils. La recourante ne se prévaut d'aucun lien particulier avec la Suisse et sa situation ne revêt nullement le caractère exceptionnel qu'elle décrit; celle-ci a vécu ses cinquante premières années en Chine avant de s'établir au Japon, où elle prétend ne pas s'être intégrée, bien qu'elle y ait résidé durant quinze ans. En outre, il ressort des deux certificats produits par la recourante que l’origine des troubles dont elle souffre doit essentiellement être recherchée dans la perspective de son départ de Suisse, qu'elle conteste. Recours déclaré irrecevable par le Tribunal fédéral, par arrêt 2C_952/2016 du 10 octobre 2016.</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La recourante requiert la tenue d’une audience, afin de pouvoir s’exprimer oralement devant le Tribunal et faire entendre des membres de sa famille en qualité de témoins. a) Devant la Cour de droit administratif et public du Tribunal cantonal,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 'être entendu découlant des art. 29 al. 2 Cst. et 27 al. 2 Cst./VD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publique aux fins d’auditionner la recourante. De même, il n’y a pas lieu d’ordonner l’audition de témoins. L’autorité intimée a produit son dossier complet et le litige a trait, comme on le verra ci-dessous, à des questions d’ordre principalement juridique, que le Tribunal examine avec un plein pouvoir d’examen (cf. art. 98 LPA-VD). En outre, la recourante a versé des pièces au dossier s’agissant de son état de santé et n’expose pas les éléments supplémentaires que pourrait amener son audition ainsi que celle de sa famille. Dès lors, par appréciation anticipée des preuves, le Tribunal s’estime en mesure de statuer en connaissance de cause, en se dispensant de donner suite aux réquisitions d’instruction formulées par la recourante.</w:t>
      </w:r>
    </w:p>
    <w:p>
      <w:r>
        <w:rPr>
          <w:b/>
        </w:rPr>
        <w:t>E. 3</w:t>
      </w:r>
    </w:p>
    <w:p>
      <w:r>
        <w:t>Toujours sur le plan procédural, on constate que la demande de la recourante tendant à la délivrance d’une autorisation de séjour a déjà fait l’objet d’un refus définitif de la part de l’autorité intimée, le 8 avril 2010. Il appert dès lors qu’une nouvelle demande, dont l’objet est rigoureusement identique, ne peut être acceptée que si les conditions de l’art. 64 al. 2 LPA-VD, permettant le nouvel examen de la décision négative, sont réalisées, à savoir: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L’autorité intimée semble avoir perdu de vue de ce qui précède, puisqu’elle a examiné la demande à l’aune de l’art. 30 al. 1 let. b LEtr. Cette question souffre cependant de rester indécise puisque le recours doit de toute façon être rejeté, comme on le verra ci-dessous.</w:t>
      </w:r>
    </w:p>
    <w:p>
      <w:r>
        <w:rPr>
          <w:b/>
        </w:rPr>
        <w:t>E. 4</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Ressortissante chinoise, la recourante ne peut invoquer aucun traité en sa faveur; le recours s'examine ainsi uniquement au regard du droit interne, soit la loi fédérale du 16 décembre 2005 sur les étrangers (LEtr; RS 142.20) et ses ordonnances d’application.</w:t>
      </w:r>
    </w:p>
    <w:p>
      <w:r>
        <w:rPr>
          <w:b/>
        </w:rPr>
        <w:t>E. 5</w:t>
      </w:r>
    </w:p>
    <w:p>
      <w:r>
        <w:t>A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LEtr ne prévoyant aucune disposition étendant le pouvoir de contrôle de l'autorité de recours à l'inopportunité, ce motif ne saurait être examiné par la Cour de céans (v. notamment, arrêt PE.2013.0379 du 26 mai 2014 consid. 2). On rappelle à cet égard qu’une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6</w:t>
      </w:r>
    </w:p>
    <w:p>
      <w:r>
        <w:t>La recourante se prévaut d'un droit au regroupement familial en faveur d'ascendants fondé sur le droit au respect de leur vie familiale et privée découlant de l'art. 8 de la Convention européenne des droits de l’homme (CEDH; RS 0.101), en raison du lien de dépendance qui la rattacherait à sa fille, de nationalité suisse. a) L’art. 8 par. 1 CEDH garantit à toute personne le droit au respect de sa vie privée et familiale, de son domicile et de sa correspondance. Selon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Un étranger peut, selon les circonstances, se prévaloir du droit au respect de sa vie privée et familiale garanti par l'art.</w:t>
      </w:r>
    </w:p>
    <w:p>
      <w:r>
        <w:rPr>
          <w:b/>
        </w:rPr>
        <w:t>E. 8</w:t>
      </w:r>
    </w:p>
    <w:p>
      <w:r>
        <w:t>Au surplus, la recourante ne soutient pas qu’au vu de son état de santé actuel, son renvoi serait illicite au sens des art. 3 CEDH et 83 al. 4 LEtr. On observe sur ce dernier point que l'exécution du renvoi demeure raisonnablement exigible si l'accès à des soins essentiels est assuré dans le pays d'origine ou de provenance, fussent-ils d'un niveau de qualité, d'une efficacité et d'une utilité moindres que ceux disponibles en Suisse (cf. arrêts du Tribunal administratif fédéral E-3657/2014 du 20 octobre 2014; E-8787/2010 du 24 janvier 2011, ainsi que les références citées). Tel est le cas en l’occurrence.</w:t>
      </w:r>
    </w:p>
    <w:p>
      <w:r>
        <w:rPr>
          <w:b/>
        </w:rPr>
        <w:t>E. 9</w:t>
      </w:r>
    </w:p>
    <w:p>
      <w:r>
        <w:t>Les considérants qui précèdent conduisent ainsi le Tribunal à rejeter le recours et à confirmer la décision attaquée. Vu l’issue du recours, un émolument judiciaire sera mis à la charge de la recourante, qui succombe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