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PE.2015.0335 vom 30. November 2015</w:t>
      </w:r>
    </w:p>
    <w:p>
      <w:r>
        <w:t>VD Tribunal cantonal, 2015-11-30, FR</w:t>
      </w:r>
    </w:p>
    <w:p>
      <w:r>
        <w:rPr>
          <w:b/>
        </w:rPr>
        <w:t xml:space="preserve">Quelle: </w:t>
      </w:r>
      <w:r>
        <w:t>https://mcp.opencaselaw.ch/entscheid/vd_omni_PE.2015.0335</w:t>
      </w:r>
    </w:p>
    <w:p>
      <w:r>
        <w:t>FR: VD_OMNI PE.2015.0335 du 30 novembre 2015</w:t>
      </w:r>
    </w:p>
    <w:p>
      <w:r>
        <w:t>IT: VD_OMNI PE.2015.0335 del 30 novembre 2015</w:t>
      </w:r>
    </w:p>
    <w:p>
      <w:pPr>
        <w:pStyle w:val="Heading2"/>
      </w:pPr>
      <w:r>
        <w:t>Regeste</w:t>
      </w:r>
    </w:p>
    <w:p>
      <w:r>
        <w:t>A. B________/Service de l'emploi Contrôle du marché du travail et, Service de la population (SPOP) | Décision du SDE refusant une demande de main-d'oeuvre étrangère pour activité indépendante en faveur d'un ressortissant turc résidant en France. L'intéressé entend monter une entreprise de construction (second oeuvre et menuiserie) dans le canton de Vaud. Recours rejeté, l'entreprise envisagée ne représentant pas un intérêt économique suffisant pour le canton de Vaud, ni pour la Suisse en général. Recours au TF déclaré irrecevable (arrêt 2C_56/2016 du 20 janvier 2016).</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prétend que c'est à tort que le SDE a refusé de lui octroyer une autorisation de séjour pour activité lucrative indépendante puisque, à son sens, son entreprise servirait les intérêts économiques de la Suisse d'une part et qu'il disposerait de qualifications professionnelles suffisantes d'autre part.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Le recourant, ressortissant turc, ne peut pas invoquer de traité en sa faveur. Le recours s’examine dès lors uniquement au regard du droit interne, soit de la loi fédérale du 16 décembre 2005 sur les étrangers (LEtr; RS 142.20) et de ses dispositions d’application. b) L’art. 19 LEtr prévoit ce qui suit : " Un étranger peut être admis en vu de l’exercice d’une activité lucrative indépendante aux conditions suivantes : a.  son admission sert les intérêts économiques du pays ; b.  les conditions financières et les exigences relatives à l’exploitation de l’entreprise sont remplies ; c.  les conditions fixées aux art. 20 et 23 à 25 sont remplies. "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de l’ordonnance du 24 octobre 2007 relative à l’admission, au séjour et à l’exercice d’une activité lucrative (OASA; RS 142.201) précise que les cantons peuvent délivrer des autorisations de séjour pour des séjours en vue d’exercer une activité lucrative d’une durée supérieure à un an, dans les limites des nombres maximums fixés à l’annexe 2 ch. 1, let. a. 23 LEtr.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D’après les directives I. Domaine des étrangers du Secrétariat d'Etat aux migrations (SEM - état au 10 novembre 2015), les requêtes tendant à l’octroi d’une autorisation de séjour pour activité lucrative indépendante (cf. art. 2 OASA) sont soumises à un examen des conditions relatives au marché du travail selon l’art. 19 LEtr et peuvent être admises s’il est prouvé qu’il en résultera des retombées durables positives pour le marché suisse du travail.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(ch. 4.7.2.1).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(ch. 4.7.2.3). Il ressort du Message du Conseil fédéral publié dans la FF 2002 3485/3486 que le critère de l'intérêt économique suisse mentionné à de nombreux endroits n'est pas défini plus précisément dans le projet de loi, mais il concerne bien, au premier chef, le domaine du marché du travail. Cette notion est assez vague d'un point de vue légal et n'est pas exhaustive; elle ne peut être toujours interprétée de façon identique. En effet, elle dépend en particulier de la situation effective du marché du travail. Il incombe aux autorités du marché du travail – et ce, dans le cadre de leur pouvoir d'appréciation – d'examiner concrètement chaque cas au vu des conditions économiques et de la situation donnée sur le marché de l'emploi. L'examen des intérêts économiques doit, en effet, favoriser une évolution économique durable tout en tenant compte des aspects politiques et sociaux du pays. Il ne s'agit pas de maintenir une infrastructure avec une main-d'œuvre peu qualifiée disposée à travailler pour de bas salaires, ni de soutenir des intérêts particuliers au sein de l'économie. Il s'agit plutôt d'intégrer les étrangers durablement et à long terme dans le marché du travail et la société, d'assurer une évolution régulière du taux de l'emploi et d'améliorer la structure de notre marché du travail. Il ne faut pas promouvoir au premier chef des intérêts économiques à court terme. Les dispositions légales devraient surtout éviter que l'entrée en Suisse des nouveaux étrangers en provenance des Etats tiers ne se traduise par une nouvelle vague d'immigration de main-d'œuvre peu qualifiée, présentant des problèmes accrus d'intégration. Il convient aussi d'éviter que les étrangers nouvellement entrés dans notre pays fassent une concurrence inopportune aux travailleurs en Suisse et provoquent ainsi un dumping salarial et social par leur disposition à accepter de moins bonnes conditions de rémunération et de travail. c) En l'occurrence, l'autorité intimée a fondé son refus sur le fait que l'activité que le recourant entendait développer ne remplirait pas les critères d'admission requis. Le secteur de la construction employant entre 26'000 et 30'000 personnes dans le canton de Vaud, l'impact d'une nouvelle structure telle que celle envisagée apparaissait marginale en matière de création de postes de travail, de diversité régionale et de production de nouveaux mandats, et ne représentait pas une réelle plus-value en termes de compétences. Il y a lieu de rappeler que la délivrance de l'autorisation requise repose sur le pouvoir d'appréciation de l'autorité du marché du travail (FF 2002 3485 in fine ). Ainsi, l'autorité de céans n'intervient que si cette appréciation est abusive ou excessive. In casu, cette appréciation doit être confirmée. La société dont le recourant est associé directeur est une petite entreprise familiale active dans l'exécution de travaux du second œuvre dans le bâtiment, tels que plâtrerie, peinture, isolation thermique et acoustique, et de menuiserie. Si, comme le relève le recourant, cette entreprise projette d'être prospère – elle prévoit un chiffre d'affaire de 120'000 fr. en 2015 puis de 245'000 fr. par an de 2016 à 2019 –, elle ne présente pas un intérêt économique particulier pour le canton de Vaud, ni pour la Suisse en général; le domaine de la construction ne relève notamment pas d'une activité procurant une haute valeur ajoutée. Comme le souligne le SDE, le secteur de la construction emploie entre 26'000 et 30'000 personnes dans le canton de Vaud et on ne perçoit pas de prestations offertes par le recourant qui se distinguent de celles déjà actuellement fournies. Le secteur n'est pas en pénurie (voir PE.2015.0184 du 13 octobre 2015 consid. 4e). Au vu de l'ensemble de ces circonstances, il y a lieu de considérer qu'elle servira les intérêts particuliers du recourant et des autres participants à l'entreprise plutôt que l'intérêt économique suisse tel que défini par le message. A noter au demeurant qu'on ne voit guère en l'état comment l'entreprise concernée envisage de rémunérer les postes annoncés au ch. 2.1 du business plan (à savoir le recourant et son fils comme directeurs, un administrateur et un ouvrier), dès lors qu'elle projette d'affecter uniquement l'équivalent de 10'414 fr. par mois au poste "salaire brut" jusqu'en 2019. A fortiori, l'engagement de personnel supplémentaire apparaît très hypothétique sans investissement ou développement plus substantiel. C________ Sàrl ne présentant pas d'intérêt économique prépondérant pour la Suisse, il n'y a pas lieu d'examiner si les autres conditions de l'art. 19 LEtr sont réalisées. C'est dès lors à bon droit que l'autorité intimée a refusé la délivrance d'une autorisation de séjour au recourant. Le recours doit donc être rejeté et la décision attaquée confirmée.</w:t>
      </w:r>
    </w:p>
    <w:p>
      <w:r>
        <w:rPr>
          <w:b/>
        </w:rPr>
        <w:t>E. 3</w:t>
      </w:r>
    </w:p>
    <w:p>
      <w:r>
        <w:t>Il résulte de ce qui précède que le recours, manifestement mal fondé, doit être rejeté sans qu'il soit nécessaire de procéder à un échange d'écritures ou à toute autre mesure d'instruction (art. 82 al. 1 LPA-VD), et que la décision attaquée doit être confirmée. Les frais seront supportés par le recourant, qui succombe (art. 49 al. 1 LPA-VD).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