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PE.2015.0330 vom 7. April 2016</w:t>
      </w:r>
    </w:p>
    <w:p>
      <w:r>
        <w:t>VD Tribunal cantonal, 2016-04-07, FR</w:t>
      </w:r>
    </w:p>
    <w:p>
      <w:r>
        <w:rPr>
          <w:b/>
        </w:rPr>
        <w:t xml:space="preserve">Quelle: </w:t>
      </w:r>
      <w:r>
        <w:t>https://mcp.opencaselaw.ch/entscheid/vd_omni_PE.2015.0330</w:t>
      </w:r>
    </w:p>
    <w:p>
      <w:r>
        <w:t>FR: VD_OMNI PE.2015.0330 du 7 avril 2016</w:t>
      </w:r>
    </w:p>
    <w:p>
      <w:r>
        <w:t>IT: VD_OMNI PE.2015.0330 del 7 aprile 2016</w:t>
      </w:r>
    </w:p>
    <w:p>
      <w:pPr>
        <w:pStyle w:val="Heading2"/>
      </w:pPr>
      <w:r>
        <w:t>Regeste</w:t>
      </w:r>
    </w:p>
    <w:p>
      <w:r>
        <w:t>X.________ c/Service de la population (SPOP) | Ressortissant chilien mis au bénéfice d'une autorisation de séjour à la suite de son mariage avec une ressortissante helvétique. Séparation après moins de 3 ans. Refus de prolonger l'autorisation de séjour de l'intéressé confirmé. Pas de raisons personnelles majeures au sens de l'art. 50 al. 1 let. b LEtr: il n'entretient pas avec sa fille de 4,5 ans une relation étroite et effective (ne l'a vue qu'à 2 reprises en l'espace d'une année; ne pourvoit pas à son entretien); son intégration n'est pas réussie (5 condamnations pénales; poursuites; aide sociale).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Aux termes de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b) En l'espèce, les époux XY.________ se sont séparés en mai 2013. Ils ont envisagé de reprendre la vie commune à la fin de l'année 2015. Cette tentative a définitivement échoué. Le recourant ne peut dès lors plus se prévaloir de son mariage pour fonder la poursuite de son séjour en Suisse.</w:t>
      </w:r>
    </w:p>
    <w:p>
      <w:r>
        <w:rPr>
          <w:b/>
        </w:rPr>
        <w:t>E. 2.3</w:t>
      </w:r>
    </w:p>
    <w:p>
      <w:r>
        <w:t>et 2.5). Ce qui est déterminant, sous l'angle de l'art. 8 par. 1 CEDH, c'est la réalité et le caractère effectif des liens qu'un étranger a tissés avec le membre de sa famille qui bénéficie d'un droit de résider en Suisse au moment où le droit est invoqué (cf. ATF 140 I 145 consid. 4.2). Cette précision de la jurisprudence ne s'applique toutefois qu'à l'hypothèse où l'étranger, en raison d'une communauté conjugale avec un ressortissant suisse ou une personne disposant d'une autorisation d'établissement, détient déjà une autorisation de séjour en Suisse. Grâce à son séjour légal sur territoire helvétique, le parent étranger a en effet eu l'occasion de s'y intégrer et de nouer des relations approfondies avec ce pays. Il se distingue de la sorte des étrangers qui, en raison d'un lien familial avec un enfant disposant du droit de résider en Suisse, sollicitent pour la première fois une autorisation de séjour. En raison de ces différences, il se justifie partant d'être moins exigeant en ce qui concerne le conjoint ou ex-conjoint étranger qui réside déjà en Suisse et qui bénéficie d'un droit de visite sur son enfant (ATF 139 I 315 consid. 2.4). Ceci rappelé, il convient de relever encore que dans un arrêt récent, le Tribunal fédéral a considéré que la jurisprudence relative à la situation du parent étranger qui n'a pas l'autorité parentale ni la garde de l'enfant ne saurait être appliquée, du moins pas sans aménagement dans la pesée des intérêts, à un étranger qui détient l'autorité parentale mais n'en a pas la garde (ATF 140 I 145 consid. 4.1). Il a précisé que ce qui était déterminant sous l'angle de l'art. 8 par. 1 CEDH, c'était la réalité et le caractère effectif des liens au moment où le droit était invoqué, autrement dit qu'il importait peu qu'initialement et pendant une période relativement brève, l'étranger n'ait pas pu entretenir des relations affectives et économiques fortes avec son enfant, s'il assumait par la suite, des années durant, les obligations inhérentes à son statut (ibid. consid. 4.2). Dans un tel cas, toujours selon le Tribunal fédéral, la contrariété à l'ordre public ne constitue pas une condition indépendante rédhibitoire de refus de prolongation de l'autorisation de séjour, mais un élément parmi d'autres à prendre en compte dans la pesée globale des intérêts (ibid. consid. 4.3). c) En l'espèce, le recourant invoque essentiellement la présence de sa fille, âgée de 4 ans et demie, pour s'opposer à son renvoi de Suisse. Il ressort des pièces du dossier que le droit de de garde sur l'enfant AXY.________ a été confié au SPJ en raison des problèmes de santé rencontrés par la mère. Cette mesure est apparemment toujours en place. Selon les informations transmises par le SPJ au SPOP (cf. son courrier électronique du 30 janvier 2015), le recourant n'a vu sa fille entre le printemps 2014 et le mois de janvier 2015 qu'à deux reprises. Il ne se serait par ailleurs pas manifesté pendant plusieurs mois. Le recourant n'établit pas – ni n'allègue d'ailleurs – que la situation aurait évolué depuis lors et que les visites seraient désormais plus fréquentes. Il ne conteste en outre pas qu'il ne verse aucune contribution financière pour l'entretien de sa fille, si ce n'est des " viatiques " de temps en temps. On ne saurait dans ces conditions retenir que le recourant entretient avec l'enfant AXY.________ une relation digne de protection au sens de l'art. 50 al. 1 let. b LEtr en relation avec l'art. 8 par. 1 CEDH. Un regroupement familial " inversé " au sens de la jurisprudence précitée ne saurait ainsi entrer en considération. Pour le surplus, on relève que le recourant ne peut se prévaloir d'une intégration réussie. Depuis son arrivée en Suisse en 2011, il alterne en effet les emplois temporaires avec les périodes de chômage et d'aide sociale. Il a de plus été condamné à cinq reprises pour des infractions à la loi sur la circulation routière et des contraventions à la loi fédérale sur les stupéfiants pour un total de 300 jours-amende (dont 170 sans sursis). Il ne conteste en outre pas qu'il fait l'objet de plusieurs poursuites. Un renvoi dans son pays d'origine ne constituera ainsi pas un véritable déracinement pour lui. A cela s'ajoute que le recourant dispose de réelles possibilités de réintégration compte tenu de son jeune âge, du fait qu'il est en bonne santé et qu'il a vécu la majorité de son existence au Chili. Le recourant ne peut dès lors pas se prévaloir de l'application de l'art. 50 al. 1 let. b LEtr pour s'opposer à son renvoi.</w:t>
      </w:r>
    </w:p>
    <w:p>
      <w:r>
        <w:rPr>
          <w:b/>
        </w:rPr>
        <w:t>E. 3</w:t>
      </w:r>
    </w:p>
    <w:p>
      <w:r>
        <w:t>a) L'art. 50 al. 1 let. a LEtr dispose qu’après la dissolution de la famille, le droit du conjoint à l’octroi d’une autorisation de séjour et à sa prolongation subsiste lorsque l’union conjugale a duré au moins trois ans et que l’intégration est réussie. Il s'agit de deux conditions cumulatives ( ATF 140 II 289 consid. 3.5.3 p. 295; 136 II 113 consid. 3.3.3 p. 119). Selon la jurisprudence, la période minimale de trois ans de l'union conjugale commence à courir dès le début de la cohabitation effective des époux en Suisse et s'achève au moment où ceux-ci cessent de faire ménage commun ( ATF 138 II 229 consid. 2 p. 231; 136 II 113 consid. 3.3.3 p. 119). Est seule décisive la durée de la vie commune en Suisse ( ATF 136 II 113 consid.</w:t>
      </w:r>
    </w:p>
    <w:p>
      <w:r>
        <w:rPr>
          <w:b/>
        </w:rPr>
        <w:t>E. 3.3</w:t>
      </w:r>
    </w:p>
    <w:p>
      <w:r>
        <w:t>p. 117 ss). La limite des trois ans est absolue et s'applique même s'il ne manque que quelques jours pour atteindre la durée des trente-six mois exigés par l'art. 50 al. 1 let. a LEtr (cf. ATF 137 II 345 consid. 3.1.3 p. 347; 136 II 113 consid. 3.2 et 3.4 p. 116 s. et 120; arrêt 2C_50/2015 du 26 juin 2015 consid. 3.1 et les arrêts cités). b) En l'espèce, les époux XY.________ se sont mariés en janvier 2012. Ils ont cessé de faire ménage commun après un peu plus de 16 mois, en mai 2013. Ils n'ont pas repris la vie commune malgré une tentative de réconciliation à la fin de l'année 2015. Le recourant ne peut ainsi se prévaloir d'une vie commune en Suisse de plus de trois ans. La première des conditions de l'art. 50 al. 1 let. a LEtr n'étant pas remplie, il n'est pas nécessaire d'examiner, à ce stade, si l'intégration est réussie (ATF 140 II 289 consid. 3.8; 136 II 113 consid. 3.4 p. 120) . Le recourant ne peut dès lors pas invoquer l'application de l'art. 50 al. 1 let. a LEtr.</w:t>
      </w:r>
    </w:p>
    <w:p>
      <w:r>
        <w:rPr>
          <w:b/>
        </w:rPr>
        <w:t>E. 4</w:t>
      </w:r>
    </w:p>
    <w:p>
      <w:r>
        <w:t>a) L'art. 50 al. 1 let. b LEtr prévoit qu'après dissolution de la famille, le droit du conjoint à l’octroi d’une autorisation de séjour et à sa prolongation subsiste lorsque la poursuite du séjour en Suisse s'impose pour des raisons personnelles majeures. L'art. 50 al. 2 LEtr précise que de telles raisons sont notamment données lorsque le conjoint est victime de violence conjugale, que le mariage a été conclu en violation de la libre volonté d'un des époux ou que la réintégration sociale dans le pays de provenance semble fortement compromise. Dans ce dernier cas,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137 II 345 consid. 3.2.2 ; arrêt du TF 2C_196/2014 du 19 mai 2014 consid. 4.1). L'énumération de ces cas n'est pas exhaustive et laisse aux autorités une certaine liberté d'appréciation humanitaire (ibid.). Une raison personnelle majeure donnant droit à l'octroi et au renouvellement d'une autorisation de séjour peut également résulter d'autres circonstances. Ainsi, les critères énumérés à l'art. 31 al. 1 de l'ordonnance fédérale du 24 octobre 2007 relative à l'admission, au séjour et à l'exercice d'une activité lucrative (OASA; RS 142.201)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l'état de santé et les possibilités de réintégration dans le pays d'origine. Il convient en outre de tenir compte des circonstances qui ont conduit à la dissolution du mariage (ATF 137 II 1 consid. 4.1). Des raisons personnelles majeures au sens de l'art. 50 al. 1 let. b LEtr peuvent également découler d'une relation digne de protection avec un enfant qui a le droit de séjourner en Suisse (ATF 139 I 315 consid. 2.1 in fine ; TF 2C_652/2013 du 17 décembre 2013 consid. 2.3, partiellement publié à l'ATF 140 I 145). Selon le Tribunal fédéral, l'art. 8 CEDH doit en effet être pris en compte dans l'application de l'art. 50 al. 1 let. b LEtr (TF 2C_652/2013 précité consid. 2.3). b)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Il n'y a toutefois pas atteinte à la vie familiale si l'on peut attendre des membres de la famille qu'ils réalisent leur vie de famille à l'étranger;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140 I 145 consid. 3.1 et références citées). Le parent qui n'a ni l'autorité parentale ni la garde de l'enfant ne peut d'emblée entretenir une relation familiale avec celui-ci que de manière limitée, en exerçant le droit de visite dont il bénéficie. Or, il n'est en principe pas nécessaire que, dans cette optique, le parent étranger soit habilité à résider durablement dans le même pays que son enfant. Ainsi, sous l'angle du droit à une vie familiale au sens des art. 8 par. 1 CEDH et 13 al. 1 Cst., il suffit en règle générale que le parent vivant à l'étranger exerce son droit de visite dans le cadre de séjours de courte durée, au besoin en aménageant ses modalités (ATF 139 I 315 consid. 2.2). Le droit de visite d'un parent sur son enfant ne doit en effet pas nécessairement s'exercer à un rythme bimensuel et peut également être organisé de manière à être compatible avec des séjours dans des pays différents (ATF 140 I 145 consid. 3.2).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139 I 315 consid. 2.2 ; ATF 140 I 145 consid. 3.2). Jusqu'à présent, il était admis qu'un lien affectif particulièrement fort existait lorsque le droit de visite était organisé de manière large et qu'il était exercé de façon régulière, spontanée et sans encombre (TF 2C_461/2013 du 29 mai 2013 consid. 6.4). Constatant l'évolution qu'a subi l'aménagement du droit de visite du parent qui ne dispose pas de l'autorité parentale ou de la garde de l'enfant, le Tribunal fédéral a récemment précisé que l'exigence du lien affectif particulièrement fort devait être considérée comme remplie lorsque les contacts personnels étaient exercés de manière effective, régulière et sans encombres dans le cadre d'un droit de visite usuel selon les standards actuels - soit un week-end sur deux et la moitié des vacances scolaires pour un enfant en bas âge (ATF 139 I 315 consid.</w:t>
      </w:r>
    </w:p>
    <w:p>
      <w:r>
        <w:rPr>
          <w:b/>
        </w:rPr>
        <w:t>E. 5</w:t>
      </w:r>
    </w:p>
    <w:p>
      <w:r>
        <w:t>Les considérants qui précèdent conduisent au rejet du recours et à la confirmation de la décision attaquée. Le recourant,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