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PE.2015.0315 vom 27. Januar 2016</w:t>
      </w:r>
    </w:p>
    <w:p>
      <w:r>
        <w:t>VD Tribunal cantonal, 2016-01-27, FR</w:t>
      </w:r>
    </w:p>
    <w:p>
      <w:r>
        <w:rPr>
          <w:b/>
        </w:rPr>
        <w:t xml:space="preserve">Quelle: </w:t>
      </w:r>
      <w:r>
        <w:t>https://mcp.opencaselaw.ch/entscheid/vd_omni_PE.2015.0315</w:t>
      </w:r>
    </w:p>
    <w:p>
      <w:r>
        <w:t>FR: VD_OMNI PE.2015.0315 du 27 janvier 2016</w:t>
      </w:r>
    </w:p>
    <w:p>
      <w:r>
        <w:t>IT: VD_OMNI PE.2015.0315 del 27 gennaio 2016</w:t>
      </w:r>
    </w:p>
    <w:p>
      <w:pPr>
        <w:pStyle w:val="Heading2"/>
      </w:pPr>
      <w:r>
        <w:t>Regeste</w:t>
      </w:r>
    </w:p>
    <w:p>
      <w:r>
        <w:t>X.________ /Service de la population (SPOP) | Refus du SPOP de transformer le permis F du recourant en permis B confirmé: le recourant n'a pas été en mesure de justifier de son identité, contrairement à l'exigence des art. 89 LEtr et 31 al. 2 OASA; ses allégations selon lesquelles il serait considéré comme un déserteur par son pays d'origine ont déjà été jugées non vraisemblables par l'ODM et le TAF dans le cadre de la procédure d'asile; rien n'empêche ainsi l'intéressé d'entreprendre les démarches nécessaires auprès de l'Ambassade de son pays pour obtenir un document d'identité. Recours rejeté.</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parlée sur le lieu de domicile, la volonté de prendre part à la vie économique et d'acquérir une formation.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de l'Office fédéral des migrations [ODM] " Domaine des étrangers ", version du 4 juillet 2014, n. 5.6.4.1.2).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(ATF 130 II 39 consid. 3 et la référence).</w:t>
      </w:r>
    </w:p>
    <w:p>
      <w:r>
        <w:rPr>
          <w:b/>
        </w:rPr>
        <w:t>E. 3</w:t>
      </w:r>
    </w:p>
    <w:p>
      <w:r>
        <w:t>Le SPOP fonde son refus principalement sur le fait que le recourant n'a pas été en mesure de justifier de son identité. L'art. 31 al. 2 OASA dispose que celui qui requiert une autorisation de séjour pour cas de rigueur doit justifier de son identité. L'art. 89 LEtr prévoit par ailleurs que l'étranger doit être muni d'une pièce de légitimation valable et reconnue durant tout son séjour en Suisse. L'art.</w:t>
      </w:r>
    </w:p>
    <w:p>
      <w:r>
        <w:rPr>
          <w:b/>
        </w:rPr>
        <w:t>E. 8</w:t>
      </w:r>
    </w:p>
    <w:p>
      <w:r>
        <w:t>al. 1 OASA précise que sont reconnues valables les pièces de légitimation délivrées par un Etat reconnu par la Suisse, qui établissent l’identité du titulaire, son appartenance à l’Etat qui l’a délivré et garantissent qu’il peut y retourner en tout temps (let. a), les autres pièces garantissant que le titulaire est autorisé à entrer en tout temps dans l’Etat qui les a établies ou sur le territoire indiqué sur la pièce (let. b), les autres pièces garantissant que le titulaire peut obtenir en tout temps une pièce de légitimation l’autorisant à entrer dans l’Etat qui l’a établie ou sur le territoire indiqué sur la pièce (let. c). En l'espèce, le recourant n'a pas fourni de documents d'identité malgré plusieurs demandes du SPOP. Il a certes produit un certificat de naissance. Un tel document ne constitue cependant pas une pièce de légitimation valable et reconnue au sens de l'art. 8 OASA. Le recourant a exposé dans ses échanges avec l'autorité qu'il lui était impossible de présenter de documents d'identité, au motif que l'Erythrée, son pays d'origine, le considérait comme un déserteur et que toute démarche entreprise auprès de l'Ambassade de ce pays le mettrait en danger. Ces allégations, jugées non vraisemblables, ont toutefois été écartées dans le cadre de la procédure d'asile tant par l'ODM que par le TAF, qui ont retenu que l'intéressé était de nationalité éthiopienne. Le certificat de naissance que le recourant a produit mentionne du reste également qu'il est de nationalité éthiopienne. On ne voit dès lors pas ce qui empêcherait l'intéressé d'entreprendre les démarches nécessaires pour obtenir un document d'identité. Comme l'a relevé l'autorité intimée dans la décision attaquée et le SEM à l'appui de son refus de délivrer au recourant un document de voyage pour étranger, on peut raisonnablement exiger de sa part qu'il se rende à l'Ambassade d'Ethiopie en Suisse pour obtenir un passeport national. Faute pour le recourant d'avoir justifié de son identité, c'est à juste titre que l'autorité intimée a rendu une décision négative sur la demande de l'intéressé. La question disputée entre les parties de l'intégration du recourant souffre dès lors de demeurer indécise. A noter que le cas d'espèce se distingue de celui de l'arrêt PE.2015.0145 du 16 novembre 2015 (voir consid. 1d), où la nationalité du recourant n'était pas douteuse comme en l'occurrence. 4. 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