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PE.2015.0308 vom 2. November 2015</w:t>
      </w:r>
    </w:p>
    <w:p>
      <w:r>
        <w:t>VD Tribunal cantonal, 2015-11-02, FR</w:t>
      </w:r>
    </w:p>
    <w:p>
      <w:r>
        <w:rPr>
          <w:b/>
        </w:rPr>
        <w:t xml:space="preserve">Quelle: </w:t>
      </w:r>
      <w:r>
        <w:t>https://mcp.opencaselaw.ch/entscheid/vd_omni_PE.2015.0308</w:t>
      </w:r>
    </w:p>
    <w:p>
      <w:r>
        <w:t>FR: VD_OMNI PE.2015.0308 du 2 novembre 2015</w:t>
      </w:r>
    </w:p>
    <w:p>
      <w:r>
        <w:t>IT: VD_OMNI PE.2015.0308 del 2 novembre 2015</w:t>
      </w:r>
    </w:p>
    <w:p>
      <w:pPr>
        <w:pStyle w:val="Heading2"/>
      </w:pPr>
      <w:r>
        <w:t>Regeste</w:t>
      </w:r>
    </w:p>
    <w:p>
      <w:r>
        <w:t>X.________ /Service de la population (SPOP) | Confirmation de la décision du SPOP, refusant de délivrer une autorisation de séjour à la recourante, ressortissante tunisienne, mère d'un enfant qu'elle a eu dans le cadre de son mariage avec un ressortissant suisse. La recourante a quitté la Suisse pour la Tunisie avec son fils durant plus de six mois, de sorte que son autorisation de séjour a pris fin, sans que les causes de l'éloignement ne soient déterminantes. L'union conjugale ayant duré moins de trois ans et la recourante ne fait pas valoir de motifs fondant l'existence d'une raison personnelle majeure, de sorte qu'elle n'a plus droit à une autorisation de séjour. La nationalité suisse de son fils ne lui permet pas non plus de prétendre à l'octroi d'une autorisation de séjour; il n'est en effet pas prévu que son fils l'accompagne en Suisse. Recours rejeté.</w:t>
      </w:r>
    </w:p>
    <w:p>
      <w:pPr>
        <w:pStyle w:val="Heading2"/>
      </w:pPr>
      <w:r>
        <w:t>Erwägungen</w:t>
      </w:r>
    </w:p>
    <w:p>
      <w:r>
        <w:rPr>
          <w:b/>
        </w:rPr>
        <w:t>E. 1</w:t>
      </w:r>
    </w:p>
    <w:p>
      <w:r>
        <w:t>Le litige porte en premier lieu sur la question de savoir si l'autorité intimée a, à juste titre ou non, constaté l'extinction de l'autorisation de séjour de la recourante. a) Le droit de séjour suppose la présence personnelle de l’étranger en Suisse. L’autorisation prend notamment fin lorsque l’étranger déclare son départ de Suisse (art. 61 al. 1 let. a LEtr). Si un étranger quitte la Suisse sans déclarer son départ, l’autorisation de séjour ou d’établissement prend fin automatiquement après six mois, l’autorisation d’établissement pouvant, sur demande, être maintenue pendant quatre ans (art. 61 al. 2 LEtr). b) En cas de séjour effectif de plus de six mois à l’étranger, l’autorisation de séjour ou d’établissement prend fin quels que soient la volonté interne, les causes de cet éloignement et les motifs de l’intéressé (ATF 120 Ib 369 consid. 2c p. 372; 112 Ib 1 consid. 2a p. 2; arrêts PE.2014.0082 du 23 décembre 2014 consid. 4b; PE.2013.0129 du</w:t>
      </w:r>
    </w:p>
    <w:p>
      <w:r>
        <w:rPr>
          <w:b/>
        </w:rPr>
        <w:t>E. 2</w:t>
      </w:r>
    </w:p>
    <w:p>
      <w:r>
        <w:t>a) Aux termes de l'art. 42 LEtr, le conjoint d'un ressortissant suisse ainsi que ses enfants célibataires de moins de 18 ans ont droit à l'octroi d'une autorisation de séjour et à la prolongation de sa durée de validité à condition de vivre en ménage commun avec lui. b) L'art. 50 al. 1 let. a LEtr dispose qu’après la dissolution de la famille, le droit du conjoint à l'octroi d'une autorisation de séjour et à la prolongation de sa durée de validité en vertu des art. 42 et 43 subsiste lorsque l’union conjugale a duré au moins trois ans et que l’intégration est réussie. Les deux conditions posées par les art. 50 al. 1 let. a LEtr sont cumulatives (ATF 136 II 113 consid. 3.3.3 p. 119). La période minimale de trois ans de l'union conjugale commence à courir dès le début de la cohabitation effective des époux en Suisse et s'achève au moment où ceux-ci cessent de faire ménage commun (ATF 140 II 345 consid. 4.1 p. 348; 138 II 229 consid. 2 p. 231; ATF 136 II 113 consid. 3.3.3 p. 119). Seules les années de mariage et non de concubinage sont pertinentes (cf. ATF 136 II 113 consid. 3.3.1 p. 118).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Pour satisfaire à la durée légale minimum requise, il n'est pas possible de cumuler les (courtes) périodes afférentes à des mariages distincts, que le ressortissant étranger aurait célébrés successivement (ATF 140 II 289 consid. 3 p. 291). c) En l’occurrence, la recourante ne réalise pas la première des deux conditions cumulatives de l'art. 50 al. 1 let. a LEtr. En effet, le délai de trois ans a commencé à courir au plus tôt le 5 juillet 2011, lorsque la recourante a rejoint son époux en Suisse. Les époux ont cessé la vie commune pour vivre durablement séparés à compter du 31 mai 2014 au plus tard. Par conséquent, l’on peut laisser indécis la réalisation de la seconde des deux conditions cumulatives de l'art. 50 al. 1 let. a LEtr, c'est-à-dire le point de savoir si la recourante s’est bien intégrée en Suisse.</w:t>
      </w:r>
    </w:p>
    <w:p>
      <w:r>
        <w:rPr>
          <w:b/>
        </w:rPr>
        <w:t>E. 3</w:t>
      </w:r>
    </w:p>
    <w:p>
      <w:r>
        <w:t>a) Selon l'art. 50 al. 1 let. b LEtr ,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ss; 137 II 345 consid. 3.2.1 p. 348; 137 II 1 consid. 4.1 p. 7). A cet égard, c'est la situation personnelle de l'intéressé qui est décisive et non l'intérêt public que revêt une politique migratoire restrictive.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p. 3 s.). En font notamment partie les violences conjugales (art. 50 al. 2 LEtr et 77 al. 2 OASA), qui doivent revêtir une certaine intensité (ATF 136 II 1 consid. 5.3 p. 4), la réintégration fortement compromise dans le pays d'origine et le cas dans lequel le conjoint dont dépend le droit de séjour de l'étranger décède (ATF 137 II 345 consid. 3.2.2 p. 349; 136 II 1 consid. 5.3 p. 4). b) La recourante ne fait valoir aucun motif fondant l'existence d'une raison personnelle majeure au sens de l'art. 50 al. 1 let. b LEtr. Elle n'allègue en particulier pas qu'elle rencontrerait des difficultés particulières dans son pays d'origine depuis qu'elle s'y trouve, en raison de la séparation de la famille. La recourante ne prétend pas non plus qu'elle aurait été victime de violence conjugale. Le fait qu'elle aurait été privée de son titre de séjour par son mari n'est pas déterminant. Pour autant que les conditions liées à la prolongation de son autorisation de séjour aient été réunies, la recourante aurait pu obtenir son renouvellement en se rendant, comme le lui a suggéré le SPOP, auprès de l'ambassade de Suisse en Tunisie. La recourante ne peut par ailleurs rien déduire du fait que son fils est ressortissant suisse, dès lors qu'elle a expressément indiqué au SPOP que son fils demeurerait, du moins dans un premier temps, en Tunisie. La recourante n'a au surplus, contrairement aux demandes du SPOP, pas produit un éventuel document attestant du fait qu'elle aurait la garde, respectivement l'autorité parentale sur son fils. On ne voit dès lors pas quel motif permettrait à la recourante d'obtenir une autorisation de séjour à la suite de la dissolution de la famille. Pour les mêmes raisons, il n'y a pas lieu d'octroyer à la recourante une autorisation de séjour pour cas de rigueur, étant encore précisé que la recourante n'a vécu que trois ans en Suisse et a passé les 22 premières années de sa vie en Tunisie. Encore jeune et en bonne santé, la recourante, qui peut compter sur la présence de sa famille proche en Tunisie, pourra sans doute s'y réintégrer et mettre à profit le master en mathématique qu'elle a obtenu auprès de l'Université de Genève en 2014. Sa situation n'est ainsi pas constitutive d'un cas de rigueur au sens de l'art. 30 al. 1 let. b LEtr.</w:t>
      </w:r>
    </w:p>
    <w:p>
      <w:r>
        <w:rPr>
          <w:b/>
        </w:rPr>
        <w:t>E. 4</w:t>
      </w:r>
    </w:p>
    <w:p>
      <w:r>
        <w:t>Le recours doit par conséquent être rejeté et la décision attaquée confirmée.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