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PE.2015.0305 vom 7. Dezember 2015</w:t>
      </w:r>
    </w:p>
    <w:p>
      <w:r>
        <w:t>VD Tribunal cantonal, 2015-12-07, FR</w:t>
      </w:r>
    </w:p>
    <w:p>
      <w:r>
        <w:rPr>
          <w:b/>
        </w:rPr>
        <w:t xml:space="preserve">Quelle: </w:t>
      </w:r>
      <w:r>
        <w:t>https://mcp.opencaselaw.ch/entscheid/vd_omni_PE.2015.0305</w:t>
      </w:r>
    </w:p>
    <w:p>
      <w:r>
        <w:t>FR: VD_OMNI PE.2015.0305 du 7 décembre 2015</w:t>
      </w:r>
    </w:p>
    <w:p>
      <w:r>
        <w:t>IT: VD_OMNI PE.2015.0305 del 7 dicembre 2015</w:t>
      </w:r>
    </w:p>
    <w:p>
      <w:pPr>
        <w:pStyle w:val="Heading2"/>
      </w:pPr>
      <w:r>
        <w:t>Regeste</w:t>
      </w:r>
    </w:p>
    <w:p>
      <w:r>
        <w:t>X.________ c/Service de la population (SPOP) | Le fait que le recourant s'occupe de sa mère âgée malade et impotente ne constitue pas une raison personnelle majeure au sens des art. 50 al. 1 let. b et 50 al. 2 LEtr, notamment en raison du fait que celle-ci a d'autres enfants en Suisse et qu'il existe des structures permettant la prise en charge de ce type de personnes.</w:t>
      </w:r>
    </w:p>
    <w:p>
      <w:pPr>
        <w:pStyle w:val="Heading2"/>
      </w:pPr>
      <w:r>
        <w:t>Erwägungen</w:t>
      </w:r>
    </w:p>
    <w:p>
      <w:r>
        <w:rPr>
          <w:b/>
        </w:rPr>
        <w:t>E. 1</w:t>
      </w:r>
    </w:p>
    <w:p>
      <w:r>
        <w:t>Le recourant soutient qu'il a droit à une autorisation de séjour en application de l'art. 50 al. 1 let. b et al. 2 de la loi fédérale sur les étrangers du 16 décembre 2005 (LEtr ; RS 142.20). a) Selon l'art. 50 al. 1 let. b LEtr, le droit du conjoint à l'octroi d'une autorisation de séjour et à sa prolongation subsiste après la dissolution de la famille lorsque la poursuite du séjour en Suisse s’impose pour des raisons personnelles majeures. L'art. 50 LEtr précise à son al. 2, dans sa teneur en vigueur depuis le 1 er juillet 2013,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394 ss; 137 II 345 consid. 3.2.1 p. 348; 137 II 1 consid. 3 et les références citées). Il s’agit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du 24 octobre 2007 relative à l'admission, au séjour et à l'exercice d'une activité lucrative [OASA; RS 142.201] ) . On rappelle à cet égard que l 'art. 50 al. 1 lit. b et al. 2 LEtr n'a pas pour but de garantir aux étrangers la situation la plus avantageuse pour eux mais, uniquement, à parer à des situations de rigueur (TF 2C_689/2012 du 5 février 2013 consid. 3.3; 2C_307/2012 du 26 juillet 2012 consid. 4.2, avec références). L'art. 50 al. 1 let. b et al. 2 LEtr n'est pas exhaustif (cf. le terme "notamment") et laisse aux autorités une certaine liberté d'appréciation humanitaire (TF 2C_590/2010 du 29 novembre 2010 consid. 2.5.2;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 consid. 5.3 p. 4).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S'agissant de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p. 349; TF 2C_822/2013 du 25 janvier 2014 consid. 5.2).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2C_1188/2012 du 17 avril 2013 consid. 4.1).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arrêts PE.2014.0151 du 2 octobre 2014 consid. 4a;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PE.2014.0151 du 2 octobre 2014 consid. 4a). b) aa) En l'espèce, le recourant n'invoque pas de raisons personnelles majeures liées à sa propre situation. Il ne soutient notamment pas avoir été victime de violence conjugale ou que sa réintégration sociale dans son pays de provenance serait fortement compromise. Il fait en revanche valoir qu'il s'occupe de sa mère, âgée de 78 ans et présentant une impotence grave avec une dépendance forte dans tous les actes de la vie quotidienne. Il soutient que, s'il doit quitter la Suisse, il ne pourra plus apporter l'assistance requise par l’état de santé de sa mère et qu'il existerait un risque très élevé que celui-ci se dégrade. Il se fonde à cet égard sur l'attestation médicale du Dr. Y.________ du 7 août 2015, dont il ressort notamment que sa mère aurait subi des violences conjugales de la part de son mari  et que, dans le contexte des troubles psychiques développés après ces violences conjugales, elle aurait développé un lien particulier avec son fils cadet dont la présence et l'assistance seraient devenues nécessaires au maintien de son état psychique. Le recourant se réfère à la jurisprudence selon laquelle, dans certaines conditions, un droit de séjour peut être reconnu en application des art. 50 al. 1 let. b LEtr et 8 par. 1 de la Convention de sauvegarde des droits de l'homme et des libertés fondamentales du 4 novembre 1950 (CEDH; RS 0.101) au parent étranger d'un enfant disposant d'un droit de résider en Suisse, dont il n'a pas l'autorité parentale. Il soutient que, par un raisonnement analogue, une relation digne de protection avec un parent devrait également fonder un droit de séjour. bb) Il ressort du dossier que le recourant partage actuellement un logement avec sa sœur et sa mère. Cette dernière a en outre deux autres fils et une fille, ainsi que des petits-enfants, qui habitent dans le canton de Vaud. Même si un de ses fils est actuellement en détention et qu’elle n’a plus de contact avec l'une de ses filles, elle continuera par conséquent à bénéficier d'un soutien familial important, même en l'absence du recourant. Dans la mesure o¿la mère du recourant semble souffrir de problèmes psychiques, le fait que son fils doive quitter la Suisse aura probablement un effet négatif sur son état. Cela étant, on relève que le recourant n'a produit que des avis émanant d'un médecin traitant, à l'exclusion de toute attestation d'un spécialiste. On en déduit que la mère du recourant n'est pas suivie actuellement par un psychiatre. Les troubles psychiques dont elle souffre sont au demeurant invoqués de manière très générale et ne sauraient justifier la présence en Suisse du recourant, en plus de ses autres enfants. Pour le surplus, il est possible que certaines tâches d'assistance dans la vie quotidienne ne puissent pas être assumées par la sœur du recourant pour des raisons de capacités physiques. Cet élément doit toutefois être relativisé dans la mesure où il peut être fait appel à des structures extérieures d'aide actives dans le maintien à domicile (notamment les centres médico-sociaux). On peut encore relever que la situation du recourant et de sa mère, dans la mesure où elle concerne deux personnes adultes, peut difficilement être comparée à celle du ressortissant étranger qui invoque les relations entretenues avec un enfant disposant d'un droit de résider en Suisse. La séparation d'un enfant d'avec un de ses parents pose en effet des problèmes particuliers, notamment en relation avec le développement de l'enfant. cc) Vu ce qui précède, la situation de la mère du recourant, bien que digne de considération, ne saurait constituer une "raison personnelles majeure" au sens de l'art. 50 al. 1 let. b LEtr justifiant qu'une autorisation de séjour soit délivrée à ce dernier. Par ailleurs, comme on l'a vu ci-dessus, le fait que le recourant soit bien intégré socialement et professionnellement et que son comportement n'ait pas fait l'objet de plaintes ne suffit également pas à justifier l'octroi d'une autorisation de séjour en application de l'art. 50 al. 1 let. b et al. 2 LEtr.</w:t>
      </w:r>
    </w:p>
    <w:p>
      <w:r>
        <w:rPr>
          <w:b/>
        </w:rPr>
        <w:t>E. 2</w:t>
      </w:r>
    </w:p>
    <w:p>
      <w:r>
        <w:t>Les considérants qui précèdent conduisent au rejet du recours et à la confirmation de la décision attaquée. Vu l’issue du pourvoi, un émolument judiciaire sera mis à la charge du recourant, qui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