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PE.2015.0293 vom 19. Januar 2016</w:t>
      </w:r>
    </w:p>
    <w:p>
      <w:r>
        <w:t>VD Tribunal cantonal, 2016-01-19, FR</w:t>
      </w:r>
    </w:p>
    <w:p>
      <w:r>
        <w:rPr>
          <w:b/>
        </w:rPr>
        <w:t xml:space="preserve">Quelle: </w:t>
      </w:r>
      <w:r>
        <w:t>https://mcp.opencaselaw.ch/entscheid/vd_omni_PE.2015.0293</w:t>
      </w:r>
    </w:p>
    <w:p>
      <w:r>
        <w:t>FR: VD_OMNI PE.2015.0293 du 19 janvier 2016</w:t>
      </w:r>
    </w:p>
    <w:p>
      <w:r>
        <w:t>IT: VD_OMNI PE.2015.0293 del 19 gennaio 2016</w:t>
      </w:r>
    </w:p>
    <w:p>
      <w:pPr>
        <w:pStyle w:val="Heading2"/>
      </w:pPr>
      <w:r>
        <w:t>Regeste</w:t>
      </w:r>
    </w:p>
    <w:p>
      <w:r>
        <w:t>X.________ /Service de l'emploi | La recourante a employé une ressortissante croate pendant quinze jours sans autorisation idoine. En vertu de son devoir de diligence, il lui incombait de procéder aux vérifications nécessaires avant de l'engager. La sommation est la sanction la plus légère prévue par la loi. Elle est donc proportionnée aux circonstances. Le recours est rejeté.</w:t>
      </w:r>
    </w:p>
    <w:p>
      <w:pPr>
        <w:pStyle w:val="Heading2"/>
      </w:pPr>
      <w:r>
        <w:t>Erwägungen</w:t>
      </w:r>
    </w:p>
    <w:p>
      <w:r>
        <w:rPr>
          <w:b/>
        </w:rPr>
        <w:t>E. 1</w:t>
      </w:r>
    </w:p>
    <w:p>
      <w:r>
        <w:t>Le litige porte sur la sommation adressée à la recourante par l’autorité intimée, sous le menace de rejet des futures demandes d’admission de travailleurs étrangers pour une durée variant d’un à douze mois. L’injonction visant à cesser d’occuper B.________ n’est pas à proprement litigieuse puisqu’elle n’y travaille plus depuis le 2 avril 2015.</w:t>
      </w:r>
    </w:p>
    <w:p>
      <w:r>
        <w:rPr>
          <w:b/>
        </w:rPr>
        <w:t>E. 2</w:t>
      </w:r>
    </w:p>
    <w:p>
      <w:r>
        <w:t>L 'autorité compétente peut menacer les contrevenants de ces sanctions. »</w:t>
      </w:r>
    </w:p>
    <w:p>
      <w:r>
        <w:rPr>
          <w:b/>
        </w:rPr>
        <w:t>E. 3</w:t>
      </w:r>
    </w:p>
    <w:p>
      <w:r>
        <w:t>Il résulte des considérants qui précèdent que le recours doit être rejeté et la décision attaquée confirmée. Les frais seront mis à la charge de la recourante qui succombe (art. 49 LPA-VD). Il ne sera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