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PE.2015.0275 vom 27. Januar 2016</w:t>
      </w:r>
    </w:p>
    <w:p>
      <w:r>
        <w:t>VD Tribunal cantonal, 2016-01-27, FR</w:t>
      </w:r>
    </w:p>
    <w:p>
      <w:r>
        <w:rPr>
          <w:b/>
        </w:rPr>
        <w:t xml:space="preserve">Quelle: </w:t>
      </w:r>
      <w:r>
        <w:t>https://mcp.opencaselaw.ch/entscheid/vd_omni_PE.2015.0275</w:t>
      </w:r>
    </w:p>
    <w:p>
      <w:r>
        <w:t>FR: VD_OMNI PE.2015.0275 du 27 janvier 2016</w:t>
      </w:r>
    </w:p>
    <w:p>
      <w:r>
        <w:t>IT: VD_OMNI PE.2015.0275 del 27 gennaio 2016</w:t>
      </w:r>
    </w:p>
    <w:p>
      <w:pPr>
        <w:pStyle w:val="Heading2"/>
      </w:pPr>
      <w:r>
        <w:t>Regeste</w:t>
      </w:r>
    </w:p>
    <w:p>
      <w:r>
        <w:t>X.________/Service de l'emploi Contrôle du marché du travail et | Confirmation de la décision du SDE qui prononce une sommation à l'encontre d'un employeur ayant utilisé les services d'étrangers qui n'étaient pas en possession d'autorisations de séjour et de travail. Peu importe que ces derniers aient été mis à sa disposition par une société tierce. En tant qu'employeur de fait, il incombait au recourant d'examiner si les travailleurs en question étaient autorisés à exercer une activité lucrative.</w:t>
      </w:r>
    </w:p>
    <w:p>
      <w:pPr>
        <w:pStyle w:val="Heading2"/>
      </w:pPr>
      <w:r>
        <w:t>Erwägungen</w:t>
      </w:r>
    </w:p>
    <w:p>
      <w:r>
        <w:rPr>
          <w:b/>
        </w:rPr>
        <w:t>E. 1</w:t>
      </w:r>
    </w:p>
    <w:p>
      <w:r>
        <w:t>La décision attaquée retient que, lors du contrôle, le recourant a admis que les trois ouvriers impliqués étaient ses employés et que ce n'est qu'ultérieurement et de façon peu convainquante qu'K.________ SA est apparue pour endosser la responsabilité de ces personnes. Quoiqu'il en soit, le recourant doit être reconnu comme employeur de fait et sanctionné pour avoir occupé des personnes en situation irrégulière. a) Aux termes de l'art. 11 de la loi fédérale du 16 décembre 2005 sur les étrangers (LEtr; RS 142.20) : "1 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Les considérants qui précèdent conduisent au rejet du recours et à la confirmation de la décision attaquée. Le recourant, qui succombe, supportera les frais de justice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