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PE.2015.0259 vom 31. August 2015</w:t>
      </w:r>
    </w:p>
    <w:p>
      <w:r>
        <w:t>VD Tribunal cantonal, 2015-08-31, FR</w:t>
      </w:r>
    </w:p>
    <w:p>
      <w:r>
        <w:rPr>
          <w:b/>
        </w:rPr>
        <w:t xml:space="preserve">Quelle: </w:t>
      </w:r>
      <w:r>
        <w:t>https://mcp.opencaselaw.ch/entscheid/vd_omni_PE.2015.0259</w:t>
      </w:r>
    </w:p>
    <w:p>
      <w:r>
        <w:t>FR: VD_OMNI PE.2015.0259 du 31 août 2015</w:t>
      </w:r>
    </w:p>
    <w:p>
      <w:r>
        <w:t>IT: VD_OMNI PE.2015.0259 del 31 agosto 2015</w:t>
      </w:r>
    </w:p>
    <w:p>
      <w:pPr>
        <w:pStyle w:val="Heading2"/>
      </w:pPr>
      <w:r>
        <w:t>Regeste</w:t>
      </w:r>
    </w:p>
    <w:p>
      <w:r>
        <w:t>A.X.________Y.________/Service de la population (SPOP) | Rejet du recours formé contre une décision du SPOP, déclarant irrecevable, subsdiairement rejetant, une demande de reconsidération. Le recourant n'a invoqué devant le SPOP aucun fait nouveau, se limitant à rappeler ce qu'il avait déjà exposé dans sa première demande de réexamen (importance de sa présence en Suisse par rapport aux besoins de son fils)</w:t>
      </w:r>
    </w:p>
    <w:p>
      <w:pPr>
        <w:pStyle w:val="Heading2"/>
      </w:pPr>
      <w:r>
        <w:t>Erwägungen</w:t>
      </w:r>
    </w:p>
    <w:p>
      <w:r>
        <w:rPr>
          <w:b/>
        </w:rPr>
        <w:t>E. 1</w:t>
      </w:r>
    </w:p>
    <w:p>
      <w:r>
        <w:t>Interjeté en temps utile (cf. art. 95 et 96 al. 1 let. b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Conformément à l'art. 64 al. 1 LPA-VD, une partie peut demander à l'autorité de réexaminer sa décision. L'autorité entre en matière sur la demande, en application de l'art.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demande de réexamen (aussi appelée demande de nouvel examen ou de reconsidération) est adressée à une autorité administrative en vue d'obtenir l'annulation ou la modification d'une décision qu'elle a prise (v. ATAF 2010/5 du 5 février 2010, consid L.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3</w:t>
      </w:r>
    </w:p>
    <w:p>
      <w:r>
        <w:t>L'art.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pesée des intérêts prévue par l'art. 8 par. 2 CEDH suppose de tenir compte de l'ensemble des circonstances et de mettre en balance l'intérêt privé à l'obtention d'un titre de séjour et l'intérêt public à son refus (ATF 135 I 153 consid. 2.1 p. 155).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s. et les références citées). Le parent qui n'a ni l'autorité parentale ni la garde de l'enfant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(ATF 139 I 315 consid. 2.2 p. 319). Le droit de visite d'un parent sur son enfant ne doit en effet pas nécessairement s'exercer à un rythme bimensuel et peut également être organisé de manière à être compatible avec des séjours dans des pays différents (cf. ATF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p. 319 et les arrêts cités). Il a été admis qu'un lien affectif particulièrement fort existe lorsque le droit de visite est organisé de manière large et qu'il est exercé de façon régulière, spontanée et sans encombres (cf. ATF 2C_461/2013 du 29 mai 2013 consid. 6.4; 2C_972/2011 du 8 mai 2012 consid. 3.2.2). Dans ce contexte, l'aménagement du droit de visite du parent qui ne dispose pas de l'autorité parentale ou de la garde de l'enfant a subi une évolution considérable au cours de ces dernières années. Des droits de visite généreux se sont en effet largement imposés dans la pratique, (ATF 139 I 315 consid. 2.5 p. 321 s.). On ajoutera cependant que le droit de visite n'est déterminant que dans la mesure où il est effectivement exercé, ce que les autorités compétentes doivent dûment vérifier.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(ATF 140 I 145 conisd. 3.2 p. 147s.; 139 I 315 consid. 2.5 p. 321 s.).</w:t>
      </w:r>
    </w:p>
    <w:p>
      <w:r>
        <w:rPr>
          <w:b/>
        </w:rPr>
        <w:t>E. 4</w:t>
      </w:r>
    </w:p>
    <w:p>
      <w:r>
        <w:t>a) En l'espèce, dans sa seconde demande de réexamen du 28 mai 2015, le recourant n'a invoqué aucun fait nouveau; il s'est limité à rappeler ce qu’il avait exposé dans sa première demande de réexamen du 5 juin 2014, à savoir l’importance de sa présence en Suisse par rapport aux besoins de son fils. Il n’a en outre ni allégué ni établi que ses relations avec l’enfant se seraient intensifiées ni qu’il subviendrait régulièrement à ses besoins. On se demande d’ailleurs comment il aurait pu soutenir de telles affirmations alors qu’il est sans activité lucrative régulière depuis longtemps, qu’il n’a aucun logement propre et qu’il s’est d’ailleurs annoncé comme SDF à la Commune de 1******** le 28 juillet 2015. Certes, il a produit une déclaration d’une psychologue suivant C.X.______ depuis juin 2014 et constatant que les comportements impulsifs, oppositionnels à la maison et agressifs à l’école étaient dus au sentiment d’insécurité qu’il ressentait par rapport à la situation de son père. Si cet élément peut constituer un fait nouveau en ce sens qu’il n’était peut-être pas connu lors du refus du SPOP du 17 septembre 2013, force est toutefois de constater qu’il ne saurait être de nature à entraîner une modification de la décision attaquée en faveur du recourant. En effet, ce dernier n’est toujours pas en mesure de contribuer à l’entretien de son fils, les raisons de l'absence du versement d'une pension alimentaire important peu, dès lors que cette question doit être appréciée de manière objective (cf. ATF 2C_797/2014 du 13 février 2015 consid. 4.4). Partant, faute de relation étroite et effective avec lui sur le plan économique, le recourant ne saurait prétendre à l’octroi d’une autorisation de séjour en application de l’art. 8 al. 1 CEDH.</w:t>
      </w:r>
    </w:p>
    <w:p>
      <w:r>
        <w:rPr>
          <w:b/>
        </w:rPr>
        <w:t>E. 5</w:t>
      </w:r>
    </w:p>
    <w:p>
      <w:r>
        <w:t>Les considérants qui précèdent conduisent au rejet du recours et à la confirmation de la décision attaquée. La requête en restitution de l’effet suspensif n’a plus d’objet. Vu la situation financière du recourant, le présent arrêt sera rendu sans frais ; il n’y a pas lieu d’allouer des des dépens (art. 49 al. 1, 50, 55 al. 1, 91 et 99 LPA-VD). Dès lors qu'il ressort d'emblée de l'ensemble du dossier que le recours est manifestement mal fondé, la demande d'assistance judiciaire sous forme de la désignation d'un avocat d'office doit être rejetée (cf. art. 18 al. 1 LPA-VD a contrario). Le présent arrêt est rendu en application de l'art. 82 al. 1 LPA-VD, aux termes duquel l'autorité peut renoncer à l'échange d'écritures ou, après celui-ci, à toute autre mesure d'instruction notamment lorsque le recours paraît manifestement mal fondé. Tel est précisément le cas dans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