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PE.2015.0255 vom 31. Juli 2015</w:t>
      </w:r>
    </w:p>
    <w:p>
      <w:r>
        <w:t>VD Tribunal cantonal, 2015-07-31, FR</w:t>
      </w:r>
    </w:p>
    <w:p>
      <w:r>
        <w:rPr>
          <w:b/>
        </w:rPr>
        <w:t xml:space="preserve">Quelle: </w:t>
      </w:r>
      <w:r>
        <w:t>https://mcp.opencaselaw.ch/entscheid/vd_omni_PE.2015.0255</w:t>
      </w:r>
    </w:p>
    <w:p>
      <w:r>
        <w:t>FR: VD_OMNI PE.2015.0255 du 31 juillet 2015</w:t>
      </w:r>
    </w:p>
    <w:p>
      <w:r>
        <w:t>IT: VD_OMNI PE.2015.0255 del 31 luglio 2015</w:t>
      </w:r>
    </w:p>
    <w:p>
      <w:pPr>
        <w:pStyle w:val="Heading2"/>
      </w:pPr>
      <w:r>
        <w:t>Regeste</w:t>
      </w:r>
    </w:p>
    <w:p>
      <w:r>
        <w:t>A.X.________/Service de la population (SPOP) | Confirmation du refus du SPOP d'entrer en matière sur une demande de réexamen d'une décision refusant la délivrance d'une autorisation de séjour, faute d'éléments nouveaux et déterminants. Rejet du recours.</w:t>
      </w:r>
    </w:p>
    <w:p>
      <w:pPr>
        <w:pStyle w:val="Heading2"/>
      </w:pPr>
      <w:r>
        <w:t>Erwägungen</w:t>
      </w:r>
    </w:p>
    <w:p>
      <w:r>
        <w:rPr>
          <w:b/>
        </w:rPr>
        <w:t>E. 1</w:t>
      </w:r>
    </w:p>
    <w:p>
      <w:r>
        <w:t>let. b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Conformément à l'art. 64 al. 1 LPA-VD, une partie peut demander à l'autorité de réexaminer sa décision. L'autorité entre en matière sur la demande, en application de l'art. 64 al. 2 LPA-VD: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3</w:t>
      </w:r>
    </w:p>
    <w:p>
      <w:r>
        <w:t>En l'espèce, dans sa demande du 20 mai 2015, la recourante n'a invoqué aucun fait nouveau; elle s'est limitée à présenter une demande d'autorisation de séjour pour vivre auprès de son père. Ce n'est que dans son recours qu'elle expose les motifs justifiant à ses yeux le réexamen de(s) la décision(s) du SPOP, à savoir son arrivée en Suisse en mai 2015, sa vie depuis lors auprès de son père, de sa belle-mère et de ses demi-frères, sa scolarisation dans notre pays et sa grande volonté de s'intégrer dans le système scolaire vaudois. Elle expose en outre qu'aucun parent ne peut plus la prendre en charge au Kosovo. a) S'agissant tout d'abord des motifs invoqués en relation avec sa situation actuelle dans notre pays (vie auprès de son père, de sa belle-mère et des ses demi-frères, intégration scolaire), s'ils sont certes nouveaux, en ce sens qu'ils n'existaient pas lors des précédentes décisions négatives du SPOP, ils ne sauraient en revanche être de nature à entraîner une modification de la décision attaquée en faveur de la recourante. Admettre le contraire reviendrait à tolérer la pratique consistant à mettre purement et simplement les autorités devant le fait accompli. En réalité, tout laisse à penser que l'intéressée, confrontée à un nouveau refus du SPOP en mars 2015 - qu'elle n'a au demeurant pas contesté -, a délibérément choisi d'entrer en Suisse, sans autorisation, de s'y installer auprès de son père, de fréquenter l'école, sans se préoccuper au préalable de l'octroi d'une éventuelle autorisation de séjour. b) La recourante allègue en outre, sans nullement l'établir, qu'aucun parent ne pourrait plus s'occuper d'elle au Kosovo. Cet élément ne s'avère pas nouveau au regard de la situation dans laquelle elle se trouvait en juillet 2014. Dans son premier recours (PE.2013.0458), l'intéressée avait en effet déjà exposé que ni ses grands-parents paternels, ni ses oncle et tante ne pouvaient plus prendre soin d'elle. Cela étant, cet argument n'est pas nouveau et ne saurait pas non plus justifier une nouvelle décision en sa faveur. On relèvera par ailleurs qu'en application de l'art. 90 de la loi sur les étrangers du 16 décembre 2005 (LEtr, RS 142.20),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Selon l'art. 28 al. 1 LPA-VD,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D'après l'art. 30 al. 1 LPA-VD effectivement, les parties sont tenues de collaborer à la constatation des faits dont elles entendent déduire des droits. Cela vaut à plus forte raison lorsqu'il s'agit d'établir des faits qu'elles sont mieux à même de connaître que l'autorité, notamment parce qu'ils ont trait à leur situation personnelle (cf. notamment ATF 2C_212/2011 du 13 juillet 2011 consid. 7.1). Dans le cas présent, comme exposé ci-dessus, la recourante s'est limitée à invoquer le fait qu'elle serait livrée à elle-même au Kosovo, sans apporter le moindre début de preuve à cet égard. Ici encore, la cour ne peut que constater qu'aucun fait nouveau ne permet d'admettre le recours et de réformer la décision entreprise.</w:t>
      </w:r>
    </w:p>
    <w:p>
      <w:r>
        <w:rPr>
          <w:b/>
        </w:rPr>
        <w:t>E. 4</w:t>
      </w:r>
    </w:p>
    <w:p>
      <w:r>
        <w:t>Les considérants qui précèdent conduisent au rejet du recours et à la confirmation de la décision attaquée. Vu l'issue du pourvoi, un émolument judiciaire sera mis à la charge de la recourante, qui n'a pas droit à des dépens (art. 49 al. 1, 55 al. 1, 91 et 99 LPA-VD).</w:t>
      </w:r>
    </w:p>
    <w:p>
      <w:r>
        <w:rPr>
          <w:b/>
        </w:rPr>
        <w:t>E. 5</w:t>
      </w:r>
    </w:p>
    <w:p>
      <w:r>
        <w:t>Le présent arrêt est rendu en application de l'art. 82 al. 1 LPA-VD, aux termes duquel l'autorité peut renoncer à l'échange d'écritures ou, après celui-ci, à toute autre mesure d'instruction notamment lorsque le recours paraît manifestement mal fondé. Tel est précisément le cas dans la présente 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