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PE.2015.0253 vom 31. August 2015</w:t>
      </w:r>
    </w:p>
    <w:p>
      <w:r>
        <w:t>VD Tribunal cantonal, 2015-08-31, FR</w:t>
      </w:r>
    </w:p>
    <w:p>
      <w:r>
        <w:rPr>
          <w:b/>
        </w:rPr>
        <w:t xml:space="preserve">Quelle: </w:t>
      </w:r>
      <w:r>
        <w:t>https://mcp.opencaselaw.ch/entscheid/vd_omni_PE.2015.0253</w:t>
      </w:r>
    </w:p>
    <w:p>
      <w:r>
        <w:t>FR: VD_OMNI PE.2015.0253 du 31 août 2015</w:t>
      </w:r>
    </w:p>
    <w:p>
      <w:r>
        <w:t>IT: VD_OMNI PE.2015.0253 del 31 agosto 2015</w:t>
      </w:r>
    </w:p>
    <w:p>
      <w:pPr>
        <w:pStyle w:val="Heading2"/>
      </w:pPr>
      <w:r>
        <w:t>Regeste</w:t>
      </w:r>
    </w:p>
    <w:p>
      <w:r>
        <w:t>A.B.________, C., D.E.________/Service de la population (SPOP), Service de l'emploi Contrôle du marché du travail et | Le choix d'engager la recourante, ressortissante bulgare, résulte d'une pure convenance personnelle de l'employeur et nullement du fait que ce dernier, en dépit d'efforts suffisants, n'aurait trouvé personne sur le marché indigène correspondant au profil recherché. Recours rejeté.</w:t>
      </w:r>
    </w:p>
    <w:p>
      <w:pPr>
        <w:pStyle w:val="Heading2"/>
      </w:pPr>
      <w:r>
        <w:t>Erwägungen</w:t>
      </w:r>
    </w:p>
    <w:p>
      <w:r>
        <w:rPr>
          <w:b/>
        </w:rPr>
        <w:t>E. 1</w:t>
      </w:r>
    </w:p>
    <w:p>
      <w:r>
        <w:t>a) L'employée pressentie par le recourant, de nationalité bulgare, tombe sous le coup du régime transitoire prévu par l'art. 10 par. 2b de l'Accord du 21 juin 1999 entre la Confédération suisse, d'une part, et la Communauté européenne et ses Etats membres, d'autre part, sur la libre circulation des personnes (ALCP; RS 0.142.112.681). Ce régime lie la Suisse et, entre autres parties contractantes, la Bulgarie (cf. protocole du 27 mai 2008 à l'ALCP, concernant la participation, en tant que parties contractantes, de la République de Bulgarie et de la Roumanie, à la suite de leur adhésion à l'Union européenne; RS 0.142.112.681.1). Il permet de maintenir à l'égard des travailleurs de l'autre partie contractante, soit en particulier la Bulgarie,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et commentaires concernant l'introduction progressive de la libre circulation des personnes [Directives OLCP] du Secrétariat d'Etat aux migrations [SEM], version d'août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Il ressort en particulier ce qui suit des Directives OLCP ch. 5.5.2: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[ndlr: la Bulgarie et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 Par conséquent, les mêmes prescriptions que pour les ressortissants d’Etats tiers s’appliquent en principe en matière de respect de la priorité des travailleurs indigènes. " Concernant les efforts de recherche de l'employeur dans le cadre de l'art. 21 LEtr, le ch. 4.3.2.2 des directives du SEM intitulées "Domaine des étrangers" (état au 1 er juillet 2015) prévoit ce qui suit: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constante de la CDAP,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En outre, les recherches requises doivent avoir été entreprises dans les médias et auprès de l’ORP pendant la période précédant immédiatement le dépôt de la demande de main-d’œuvre étrangère, et non plusieurs mois auparavant (cf. arrêts PE.2014.0230 du 24 avril 2015 consid. 2a; PE.2014.0483 du 14 avril 2015 consid. 2c; PE.2014.0432 du 2 mars 2015 consid. 1c). b) En l'espèce, les recourants ont conclu un contrat de travail le 27 avril 2015, soit avant même l'annonce du poste à repourvoir à l'ORP et le dépôt, intervenu le 21 mai 2015, de la demande de permis de séjour avec activité lucrative. Ce contrat, conclu pour une durée indéterminée, ne spécifie en outre pas que la prise d'emploi, fixée au 1 er mai 2015, serait soumise à la condition de l'obtention de l'autorisation de travail sollicitée. Les recourants avaient donc d'emblée décidé de collaborer ensemble. Ceci paraît d'autant plus être le cas que la recourante est l'amie du fils du recourant, qu'elle habite avec eux et que tous souhaitent qu'elle travaille au X. Bar. Si le poste en cause a fait l'objet d'une annonce à l'ORP, aucun élément du dossier ne permet d'attester que le recourant aurait déployé de réels efforts de recrutement sur le marché du travail indigène, soit aurait en particulier fait publier des annonces dans la presse quotidienne et/ou spécialisée, par le biais des médias électroniques ou fait appel à une agence de placement privée. L'annonce à l'ORP, qui a été effectuée le jour même du dépôt de la demande de permis de séjour avec activité lucrative et non auparavant, paraît l'avoir été à la seule fin de s'acquitter d'une exigence. Le recourant n'a par ailleurs pas donné suite à des postulations qu'il avait reçues en se fondant en particulier sur les aptitudes linguistiques des candidats – il exigeait de son futur employé qu'il parle le français, le bulgare et le serbe –, soit sur la base de critères professionnels non pertinents. L'on ne voit en effet pas que la connaissance de ces langues soit absolument déterminante pour un poste de serveuse, même pour un bar qui accueille avant tout des personnes provenant de pays des Balkans. Si, dans son recours, l'intéressé a reconnu qu'une personne présentait le profil idoine, il a précisé qu'au vu de l'horaire de travail, qui comportait de nombreuses heures de nuit, sachant que les vendredis et samedis le bar peut rester ouvert jusqu'à 2h du matin, cette personne n'avait finalement pas convenu, compte tenu de ses charges de famille. L'on ne peut que s'étonner qu'au stade du recours, l'intéressé précise avoir dû refuser une candidature adéquate en faisant valoir que la personne en cause ne pourrait pas, pour des raisons de famille, travailler de nuit, alors même que, selon l'annonce faite à l'ORP, l'horaire de travail prévu portait de 9h à 13h et de 18h à 22h. Il s'ensuit que le choix d'engager la recourante résulte d'une pure convenance personnelle du recourant et nullement du fait que ce dernier, en dépit d'efforts suffisants, n'aurait trouvé personne sur le marché indigène correspondant au profil recherché.</w:t>
      </w:r>
    </w:p>
    <w:p>
      <w:r>
        <w:rPr>
          <w:b/>
        </w:rPr>
        <w:t>E. 2</w:t>
      </w:r>
    </w:p>
    <w:p>
      <w:r>
        <w:t>Les recourants font valoir que les instances compétentes de la Commune de Renens, où habite la recourante, leur auraient laissé entendre que le dossier était "en ordre" et que rien ne devait s'opposer à l'octroi de l'autorisation de travail sollicitée. Les intéressés paraissent se prévaloir de leur bonne foi. a) Aux termes de l'art. 5 al. 3 Cst.,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 cf. aussi ATF 1C_153/2015 du 23 avril 2015 consid. 4). b) L'on ne saurait considérer que les recourants puissent se prévaloir de leur bonne foi. Leurs déclarations constituent de simples affirmations qu'aucun document n'atteste d'une quelconque manière.</w:t>
      </w:r>
    </w:p>
    <w:p>
      <w:r>
        <w:rPr>
          <w:b/>
        </w:rPr>
        <w:t>E. 3</w:t>
      </w:r>
    </w:p>
    <w:p>
      <w:r>
        <w:t>Manifestement mal fondé, le recours doit être rejeté et la décision attaquée confirmée, sans qu'il soit nécessaire de procéder à un échange d'écritures (art. 82 de la loi vaudoise du 28 octobre 2008 sur la procédure administrative [LPA-VD; RSV 173.36]). Les frais de justice sont mis à la charge des recourants, qui n'ont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