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PE.2015.0239 vom 27. November 2015</w:t>
      </w:r>
    </w:p>
    <w:p>
      <w:r>
        <w:t>VD Tribunal cantonal, 2015-11-27, FR</w:t>
      </w:r>
    </w:p>
    <w:p>
      <w:r>
        <w:rPr>
          <w:b/>
        </w:rPr>
        <w:t xml:space="preserve">Quelle: </w:t>
      </w:r>
      <w:r>
        <w:t>https://mcp.opencaselaw.ch/entscheid/vd_omni_PE.2015.0239</w:t>
      </w:r>
    </w:p>
    <w:p>
      <w:r>
        <w:t>FR: VD_OMNI PE.2015.0239 du 27 novembre 2015</w:t>
      </w:r>
    </w:p>
    <w:p>
      <w:r>
        <w:t>IT: VD_OMNI PE.2015.0239 del 27 novembre 2015</w:t>
      </w:r>
    </w:p>
    <w:p>
      <w:pPr>
        <w:pStyle w:val="Heading2"/>
      </w:pPr>
      <w:r>
        <w:t>Regeste</w:t>
      </w:r>
    </w:p>
    <w:p>
      <w:r>
        <w:t>A.B________C_______ /Service de la population (SPOP) | Le recourant a disparu après avoir recouru contre la décision du SPOP révoquant son autorisation de séjour; il est vraisemblable qu'il ait définitivement quitté la Suisse avec sa compagne pour son pays d'origine, ainsi qu'il l'avait du reste annoncé dans un premier temps. La question de savoir si le recours conserve un objet peut rester indécise, le recours devant de toute façon être rejeté (c. 1). Compte tenu de la gravité des infractions commises (notamment viol et actes d'ordre sexuel avec des enfants) pour lesquelles le recourant a été condamné à trois ans de privation de liberté, ainsi que du risque de récidive qu'il représente actuellement, la décision attaquée est bien fondée (c. 2). Recours rejeté en tant qu'il conserve un objet.</w:t>
      </w:r>
    </w:p>
    <w:p>
      <w:pPr>
        <w:pStyle w:val="Heading2"/>
      </w:pPr>
      <w:r>
        <w:t>Erwägungen</w:t>
      </w:r>
    </w:p>
    <w:p>
      <w:r>
        <w:rPr>
          <w:b/>
        </w:rPr>
        <w:t>E. 1</w:t>
      </w:r>
    </w:p>
    <w:p>
      <w:r>
        <w:t>Est litigieuse la révocation de l'autorisation de séjour du recourant, de nationalité portugaise. Le recourant étant désormais introuvable à son adresse en Suisse, il convient d'examiner si le recours a conservé un objet. a) Selon l'art. 75 let. a de la loi vaudoise du 28 octobre 2008 sur la procédure administrative entrée en vigueur le 1 er janvier 2009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b) En l'espèce, le recourant a été libéré conditionnellement le 13 juillet 2015. Il a ensuite disparu. Dans un premier temps, le conseil du recourant a annoncé que celui-ci était parti en vacances au Portugal. Cet avocat a ensuite été contraint de résilier son mandat, faute de connaître une adresse permettant de soumettre au recourant le formulaire d'assistance judiciaire. Le tribunal a appris de son côté que la compagne du recourant avait quitté la Suisse dès le 31 août 2015, libéré l'appartement et résilié son bail à cette même date. Il est ainsi vraisemblable que le recourant ait quitté la Suisse avec sa compagne pour le Portugal, ainsi qu'il l'avait du reste annoncé dans un premier temps, fût-ce pour 2016. Par ailleurs, en omettant de communiquer au tribunal une adresse de contact, alors qu'il se savait, et pour cause, partie à la procédure, le recourant a démontré qu'il se désintéressait de celle-ci. Au vu de l'ensemble des circonstances, il est dès lors fort douteux que le recours ait conservé un objet. La question souffre néanmoins de rester indécise dès lors que le recours est de toute façon mal fondé, pour les motifs qui suivent (consid. 2 infra).</w:t>
      </w:r>
    </w:p>
    <w:p>
      <w:r>
        <w:rPr>
          <w:b/>
        </w:rPr>
        <w:t>E. 2</w:t>
      </w:r>
    </w:p>
    <w:p>
      <w:r>
        <w:t>a) Selon l'art. 2 par. 1 annexe I de l'Accord du 21 juin 1999 entre la Confédération suisse, d'une part, et la Communauté européenne et ses Etats membres, d'autre part, sur la libre circulation des personnes (ALCP; RS 0.142.112.681), entré en vigueur le 1 er janvier 2002, les ressortissants d'une partie contractante ont notamment le droit de séjourner et d'exercer une activité économique sur le territoire de l'autre partie contractante. En tant que ressortissant portugais exerçant en Suisse une activité économique, le recourant se trouve dans une situation de libre circulation des personnes et peut se prévaloir de l'ALCP pour requérir le maintien de son autorisation de séjour. Comme l'ensemble des droits octroyés par l'ALCP, le droit de séjour découlant de cet accord ne peut être limité que par des mesures d'ordre ou de sécurité publics au sens de l'art. 5 par. 1 Annexe I ALCP. Conformément à la jurisprudence de la Cour de justice des Communautés européennes (ci-après: la CJCE),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(cf. ATF 139 II 121 consid. 5.3; 136 II 5 consid. 4.2 p. 20; 130 II 176 consid. 3.4.1 p. 182; 129 II 215 consid. 7.3 p. 222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136 II 5 consid. 4.2 p. 20; 130 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(ATF 136 II 5 consid. 4.2 p. 20;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sera d'autant plus rigoureuse que le bien juridique menacé est important (cf. ATF 139 II 121 consid. 5.3 et les références citées).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(ATF 139 II 121 consid. 5.3 p. 125 s. et les références citées). Par ailleurs, l'art. 62 de la loi fédérale du 16 décembre 2005 sur les étrangers (LEtr; RS 142.20) dispose que l'autorité compétente peut révoquer une autorisation de séjour lorsque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Quant à l'art. 8 par. 1 CEDH, il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Enfin, l'application de l'ensemble de ces dispositions doit obéir au principe de la proportionnalité (art. 96 LEtr, art. 2 al. 2 LEtr, art. 8 par. 2 CEDH, arrêt 2C_1045/2011 du 18 avril 2012 consid. 2.1;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 b) En l'espèce, le recourant a été condamné à quatre reprises entre le 17 novembre 2006 et le 8 octobre 2013, les trois premières fois pour avoir conduit en état d'ébriété, et la quatrième non seulement pour cette infraction, mais encore et surtout pour lésions corporelles simples et qualifiées, actes d'ordre sexuel avec des enfants, contrainte sexuelle qualifiée et viol. Sa dernière condamnation s'est élevée à trois ans de privation de liberté, ce qui témoigne de la gravité des infractions commises. S'agissant du risque de récidive, est décisif le rapport le plus récent du 24 février 2015 de la Commission interdisciplinaire consultative concernant les délinquants nécessitant une prise en charge psychiatrique (voir aussi le rapport du 3 février 2015 du Département de psychiatrie) qui souligne expressément la persistance chez le recourant d’une dangerosité sociale et en particulier sexuelle. Le risque de récidive doit ainsi être qualifié pour le moins de moyen. La disparition du recourant tend du reste à confirmer l'existence d'un risque avéré, si besoin était. Le bien protégé, soit l'intégrité sexuelle des personnes et plus spécifiquement des enfants, étant particulièrement important, l'intérêt public à éloigner le recourant s'avère dès lors manifeste. Quant à l'intérêt privé du recourant à demeurer en Suisse, il apparaît largement réduit. La compagne du recourant a quitté la Suisse depuis le 31 août 2015, avec sa fille cadette. Quant à la relation du recourant avec sa propre fille séjournant dans un autre canton, elle n'est pas déterminante, du moment qu'il n'a pas été en mesure de démontrer l'existence d'un contact un tant soit peu substantiel. Le recourant ne peut dès lors pas se prévaloir de l'art. 8 CEDH. L'intégration sociale, économique et professionnelle du recourant en Suisse, où il est arrivé à l'âge de 29 ans, ne revêt pas une intensité particulière, même à faire abstraction des infractions commises. Si l'on peut considérer qu'il a exercé une activité lucrative relativement régulière, il a toutefois émargé à l'assistance publique, accumulé des poursuites et délivré des actes de défaut de biens. Enfin, à supposer qu'il n'ait pas déjà regagné le Portugal avec sa compagne, son réajustement dans ce pays ne présentera pas de difficultés excessives dès lors qu'il y a passé toute sa jeunesse, qu'il y retrouvera ses parents (du moins son père, la mère n'ayant pas été mentionnée dans le dossier en mains du tribunal) et qu'il avait du reste initialement prévu d'y retourner dès sa sortie de prison. Dans ces conditions, il y a lieu d'admettre que le recourant présente, en l'état, une menace suffisamment grave pour justifier une mesure d'ordre public au sens de l'art. 5 Annexe I ALCP, de même qu'une révocation de son autorisation de séjour au sens de l'art. 62 LEtr. Encore peut-on relever que même si le recourant avait été habilité à invoquer l'art. 8 CEDH, spécifiquement en raison de ses liens avec sa compagne, l'importance du risque qu'il représente pour la sécurité publique aurait de toute façon justifié de l'éloigner de notre pays, en dépit de son intérêt privé, et de celui de ses proches à ce qu'il poursuive son séjour en Suisse.</w:t>
      </w:r>
    </w:p>
    <w:p>
      <w:r>
        <w:rPr>
          <w:b/>
        </w:rPr>
        <w:t>E. 3</w:t>
      </w:r>
    </w:p>
    <w:p>
      <w:r>
        <w:t>Vu ce qui précède, le recours doit être rejeté en tant qu'il conserve un objet et la décision attaquée doit être confirmée. Compte tenu des circonstances, il est renoncé à prélever un émolument judiciaire, de sorte que la requête d'assistance judiciaire, limitée à la question des frais, est sans objet.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