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PE.2015.0225 vom 4. Februar 2016</w:t>
      </w:r>
    </w:p>
    <w:p>
      <w:r>
        <w:t>VD Tribunal cantonal, 2016-02-04, FR</w:t>
      </w:r>
    </w:p>
    <w:p>
      <w:r>
        <w:rPr>
          <w:b/>
        </w:rPr>
        <w:t xml:space="preserve">Quelle: </w:t>
      </w:r>
      <w:r>
        <w:t>https://mcp.opencaselaw.ch/entscheid/vd_omni_PE.2015.0225</w:t>
      </w:r>
    </w:p>
    <w:p>
      <w:r>
        <w:t>FR: VD_OMNI PE.2015.0225 du 4 février 2016</w:t>
      </w:r>
    </w:p>
    <w:p>
      <w:r>
        <w:t>IT: VD_OMNI PE.2015.0225 del 4 febbraio 2016</w:t>
      </w:r>
    </w:p>
    <w:p>
      <w:pPr>
        <w:pStyle w:val="Heading2"/>
      </w:pPr>
      <w:r>
        <w:t>Regeste</w:t>
      </w:r>
    </w:p>
    <w:p>
      <w:r>
        <w:t>A.X.________ /Service de la population (SPOP) | Délai pour demander le regroupement familial (1 an / 5 ans): le recourant, ressortissant du Kosovo, père de quatre enfants issus d'un premier lit, a obtenu, suite à son mariage, une autorisation de séjour par regroupement familial le 23 août 2012. Pour celui de ses fils qui avait déjà douze ans à cette date, le délai d'un an pour demander le regroupement familial est échu depuis le 22 août 2013. Pour celui qui a eu douze ans le 22 octobre 2012, le délai est échu depuis le 21 octobre 2013. En effet, selon la jurisprudence du Tribunal fédéral, lorsque l'enfant atteint l'âge de douze ans durant le délai de cinq ans de l'art. 47 al. 1 LEtr, ce délai est raccourci à un an, débutant le jour du douzième anniversaire (c. 3). Déposées le 13 novembre 2014, les demandes de regroupement familial sont largement tardives. Enfin, ils ne peuvent se prévaloir de raisons familiales majeures (c. 4). Recours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a requis à titre de mesure d’instruction l’audition de son épouse.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127 III 576 consid. 2c).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b) En l'espèce, le recourant s’est exprimé par écrit. Vu les motifs qui suivent et vu le dossier, le Tribunal s'estime suffisamment renseigné, de sorte qu'il n'apparaît pas nécessaire de procéder à l'audition requise.</w:t>
      </w:r>
    </w:p>
    <w:p>
      <w:r>
        <w:rPr>
          <w:b/>
        </w:rPr>
        <w:t>E. 3</w:t>
      </w:r>
    </w:p>
    <w:p>
      <w:r>
        <w:t>Les délais commencent à courir: a. pour les membres de la famille des ressortissants suisses visés à l'art. 42 al. 1, au moment de leur entrée en Suisse ou de l'établissement du lien familial; b. pour les membres de la famille d'étrangers, lors de l'octroi de l'autorisation de séjour ou d'établissement ou lors de l'établissement du lien familial.</w:t>
      </w:r>
    </w:p>
    <w:p>
      <w:r>
        <w:rPr>
          <w:b/>
        </w:rPr>
        <w:t>E. 4</w:t>
      </w:r>
    </w:p>
    <w:p>
      <w:r>
        <w:t>a) L'art. 75 OASA précise que des raisons familiales majeures peuvent être invoquées lorsque le bien de l'enfant ne peut être garanti que par un regroupement familial en Suisse. C'est notamment le cas lorsque des enfants se trouveraient livrés à eux-mêmes dans leur pays d'origine (par ex. décès ou maladie de la personne qui en a la charge, ATF 126 II 329). C'est l'intérêt de l'enfant et non les intérêts économiques (prise d'une activité lucrative en Suisse) qui priment (Message concernant la loi sur les étrangers, FF 2002 3549). Il ressort notamment du chiffre 6 "Regroupement familial" des directives "Domaine des étrangers" du Secrétariat d'Etat aux migrations d'octobre 2013, actualisées le 6 janvier 2016 que, dans l'intérêt d'une bonne intégration, il ne sera fait usage de l'art. 47 al. 4 LEtr qu'avec retenue (cf. ch. 6.10.4). La reconnaissance d'un droit au regroupement familial suppose qu'un changement important de circonstances, notamment d'ordre familial, se soit produit, telle qu'une modification des possibilités de la prise en charge éducative à l'étranger (ATF 130 II 1 consid. 2; 124 II 361 consid. 3a).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cf. aussi arrêts 2A.737/2005 du 19 janvier 2007 et 2A.405/2006 du 18 décembre 2006). D'une manière générale, plus l’enfant a vécu longtemps à l'étranger et se trouve à un âge proche de la majorité, plus les motifs propres à justifier le déplacement de son centre de vie doivent apparaître sérieux et solidement étayés.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Le regroupement familial suppose également de tenir compte de l'intérêt supérieur de l'enfant, comme l'exige l'art. 3 par. 1 de la convention du 20 novembre 1989 relative aux droits de l'enfant (CDE; RS 0.107). Enfin, les raisons familiales majeures pour le regroupement familial ultérieur doivent être interprétées d'une manière conforme au droit fondamental au respect de la vie familiale (art. 13 Cst.) et de l’art. 8 de la Convention du 4 novembre 1950 de sauvegarde des droits de l'homme et des libertés fondamentales [CEDH; RS 0.101]). b) Selon les informations recueillies par l’ambassade de Suisse à Pristina, que le recourant n’a pas contestées, E. et F. vivent chez leurs grands-parents avec leur sœur D., un oncle, son épouse et leur deux enfants. Le recourant invoque comme changement de circonstances le fait que la mère ne s’occupe plus des enfants, que les grands-parents sont trop malades et trop âgés pour les prendre en charge et que leur tante souffre d’une maladie mentale, ce qui constituerait un danger. Le fait que la mère ne s’en occupe pas n’est pas pertinent puisqu’elle est retournée vivre chez ses parents en 2008, soit il y a plus de sept ans. Concernant les grands-parents, s’il est indiqué que le grand-père n’est plus à même de s’occuper d’autrui, rien n’est dit au sujet de la grand-mère. Par ailleurs, l’aîné est presque majeur et tant E. que F. ont acquis une certaine autonomie. Ainsi, le rôle des grands-parents peut se limiter à une présence, à un entourage affectif et à une certaine vigilance (arrêts CDAP PE. 2015.0263 du 10 novembre 2015 consid. 2d ; PE.2014.0047 du 11 juin 2014 consid. 4b). En outre, un oncle, son épouse et leurs enfants vivent sous le même toit qu’E. et F. et peuvent dès lors constituer une solution de garde alternative, ce qui n’est pas contesté. Quant à la tante H.X.________, seule une ordonnance médicale a été produite, ce qui ne permet pas d’établir ni une maladie, ni un potentiel danger pour son entourage. Ainsi, aucun des éléments allégués par le recourant ne constituent un changement de circonstances au sens de la jurisprudence précitée. De plus, E. et F. X.________ ont passé toute leur vie dans leur pays d’origine, où se trouvent leurs attaches socio-culturelles, leur sœur, la majeure partie de leur famille ainsi que tous leurs amis. Ils ont toujours vécu séparés de leur père. Compte tenu de ces circonstances, de leur âge et du fait qu’ils ne parlent pas le français, une rupture avec leur milieu familier à leur âge pourrait constituer un déracinement difficile à surmonter et ils se trouveraient séparés de leur famille, de leurs amis et privés de tous repères. Leur venue en Suisse n’apparaît donc pas dans leur intérêt supérieur au sens de la CDE. Sous l’angle de l’art. 8 CEDH, la situation n’est pas différente puisque le recourant n’a jamais cohabité avec ses fils et qu’aucun élément figurant au dossier ne permet de considérer qu’il entretienne avec ces derniers une relation intacte, étroite et effective (arrêt du TF 2C_723/2010 du 14 février 2011 ; 2C_508/2009 du 20 mai 2010 ; arrêt CDAP PE.2015.0263 précité consid. 2d). En conclusion, on ne saurait considérer que le regroupement familial d’E. et F. X.________ auprès de leur père se justifie pour des raisons familiales majeures. Ainsi, l’autorité précédente n’a pas violé la loi, ni abusé de son pouvoir d’appréciation en refusant de délivrer les autorisations sollicitées. Pour le surplus, la lettre manuscrite d’E. et F. produite expliquant qu’ils désiraient venir vivre en Suisse n’est pas propre à modifier ce qui précède compte tenu du fait que les demandes ont été formulées tardivement et qu’ils ne peuvent se prévaloir de circonstances familiales majeures.</w:t>
      </w:r>
    </w:p>
    <w:p>
      <w:r>
        <w:rPr>
          <w:b/>
        </w:rPr>
        <w:t>E. 5</w:t>
      </w:r>
    </w:p>
    <w:p>
      <w:r>
        <w:t>Les motifs qui précèdent conduisent au rejet du recours et à la confirmation de la décision attaquée. Les frais seront mis à la charge du recourant qui succombe (art. 49 LPA-VD). Il ne sera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