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PE.2015.0216 vom 28. September 2015</w:t>
      </w:r>
    </w:p>
    <w:p>
      <w:r>
        <w:t>VD Tribunal cantonal, 2015-09-28, FR</w:t>
      </w:r>
    </w:p>
    <w:p>
      <w:r>
        <w:rPr>
          <w:b/>
        </w:rPr>
        <w:t xml:space="preserve">Quelle: </w:t>
      </w:r>
      <w:r>
        <w:t>https://mcp.opencaselaw.ch/entscheid/vd_omni_PE.2015.0216</w:t>
      </w:r>
    </w:p>
    <w:p>
      <w:r>
        <w:t>FR: VD_OMNI PE.2015.0216 du 28 septembre 2015</w:t>
      </w:r>
    </w:p>
    <w:p>
      <w:r>
        <w:t>IT: VD_OMNI PE.2015.0216 del 28 settembre 2015</w:t>
      </w:r>
    </w:p>
    <w:p>
      <w:pPr>
        <w:pStyle w:val="Heading2"/>
      </w:pPr>
      <w:r>
        <w:t>Regeste</w:t>
      </w:r>
    </w:p>
    <w:p>
      <w:r>
        <w:t>A. X.________/Service de la population (SPOP), Service de l'emploi Contrôle du marché du travail et protection des travailleurs | Refus de délivrer une autorisation de séjour avec activité lucrative. Le recourant, bosniaque, n'est pas ressortissant d'un pays membre de l'UE/AELE, de sorte qu'il ne bénéficie d'aucune priorité. Il ne ressort pas du dossier que la société qui souhaite l'engager aurait entrepris des démarches pour rechercher un travailleur sur le marché indigène ou européen avant de déposer la demande le concernant. Il n'est cependant pas nécessaire d'instruire plus avant la question dès lors que le recours doit de toute manière être rejeté vu que le recourant ne remplit pas les conditions posées à l'art. 23 al. 1 LEtr. En effet, sa formation universitaire en langue et littérature française n'est pas déterminante pour le poste d'aide-carreleur qu'il entend occuper et il ne ressort pas du dossier qu'il disposerait de qualifications dans le domaine du carrelage, dont il pourrait se prévaloir pour le poste en cause. Le recourant se prévaut aussi de ses liens avec la Suisse, noués durant son enfance et sa jeunesse passées dans ce pays. Il ne revient toutefois pas à l'autorité de céans d'examiner si le recourant pourrait se prévaloir de ces circonstances pour obtenir une autorisation de séjour. Cette problématique sort du cadre du présent litige, qui porte exclusivement sur la demande de prise d'emploi. Rejet du recours.</w:t>
      </w:r>
    </w:p>
    <w:p>
      <w:pPr>
        <w:pStyle w:val="Heading2"/>
      </w:pPr>
      <w:r>
        <w:t>Erwägungen</w:t>
      </w:r>
    </w:p>
    <w:p>
      <w:r>
        <w:rPr>
          <w:b/>
        </w:rPr>
        <w:t>E. 1</w:t>
      </w:r>
    </w:p>
    <w:p>
      <w:r>
        <w:t>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fixées aux art. 20 à 25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al. 1 LEtr, les directives du  Secrétariat d’Etat aux migrations (SEM, auparavant Office des migrations [ODM]) prévoient en particulier ce qui suit (ch. 4.3.2.2), dans leur version d'octobre 2013 (actualisée le 1er septembre 2015, mais sans modification de fond sur le point déterminant en l'espèce):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PE.2013.0102 du 17 juin 2013, consid. 3b; PE.2006.0692 du 29 janvier 2007). b) Le recourant n'est pas ressortissant d'un pays membre de l'UE/AELE, de sorte qu'il ne bénéficie d'aucune priorité. Il ne ressort pas du dossier que la société Z.________ aurait entrepris des démarches pour rechercher un travailleur sur le marché indigène ou un travailleur européen avant de déposer la demande de main d'œuvre étrangère ayant conduit au refus de l'autorité intimée. Les exigences de l'art. 21 al. 1 LEtr ne sont ainsi a priori pas réunies. Il n'est cependant pas nécessaire d'instruire plus avant la question dès lors que le recours doit de toute manière être rejeté pour le motif exposé ci-après.</w:t>
      </w:r>
    </w:p>
    <w:p>
      <w:r>
        <w:rPr>
          <w:b/>
        </w:rPr>
        <w:t>E. 2</w:t>
      </w:r>
    </w:p>
    <w:p>
      <w:r>
        <w:t>L'autorité intimée estime également que le recourant ne remplit pas les conditions posées à l'art. 23 al. 1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b) En l’espèce, le recourant a été engagé en qualité d'aide-carreleur . Il ressort du dossier qu'il dispose d'une formation universitaire en langue et littérature française, qui est certainement une formation de haut niveau, mais qui n'est pas déterminante pour ce poste. Il ne ressort par contre pas du dossier que le recourant disposerait de qualifications dans le domaine du carrelage, dont il pourrait se prévaloir pour le poste en cause. Il s'ensuit que les conditions de l'art. 23 al. 1 LEtr n'étaient pas remplies, ce qui justifiait de ne délivrer l'autorisation requise.</w:t>
      </w:r>
    </w:p>
    <w:p>
      <w:r>
        <w:rPr>
          <w:b/>
        </w:rPr>
        <w:t>E. 3</w:t>
      </w:r>
    </w:p>
    <w:p>
      <w:r>
        <w:t>Le recourant s'est prévalu de ses liens avec la Suisse, noués durant son enfance et sa jeunesse passées dans ce pays. Il ne revient toutefois pas à l'autorité de céans d'examiner si le recourant pourrait se prévaloir de ces circonstances pour obtenir une autorisation de séjour. Cette problématique sort du cadre du présent litige, qui porte exclusivement sur la demande de prise d'emploi adressée au SDE le 30 avril 2015.</w:t>
      </w:r>
    </w:p>
    <w:p>
      <w:r>
        <w:rPr>
          <w:b/>
        </w:rPr>
        <w:t>E. 4</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