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PE.2015.0182 vom 14. September 2015</w:t>
      </w:r>
    </w:p>
    <w:p>
      <w:r>
        <w:t>VD Tribunal cantonal, 2015-09-14, FR</w:t>
      </w:r>
    </w:p>
    <w:p>
      <w:r>
        <w:rPr>
          <w:b/>
        </w:rPr>
        <w:t xml:space="preserve">Quelle: </w:t>
      </w:r>
      <w:r>
        <w:t>https://mcp.opencaselaw.ch/entscheid/vd_omni_PE.2015.0182</w:t>
      </w:r>
    </w:p>
    <w:p>
      <w:r>
        <w:t>FR: VD_OMNI PE.2015.0182 du 14 septembre 2015</w:t>
      </w:r>
    </w:p>
    <w:p>
      <w:r>
        <w:t>IT: VD_OMNI PE.2015.0182 del 14 settembre 2015</w:t>
      </w:r>
    </w:p>
    <w:p>
      <w:pPr>
        <w:pStyle w:val="Heading2"/>
      </w:pPr>
      <w:r>
        <w:t>Regeste</w:t>
      </w:r>
    </w:p>
    <w:p>
      <w:r>
        <w:t>A.X.________/Service de la population (SPOP) | Les conditions du réexamen du refus de délivrer à une ressortissante kosovare de Serbie, âgée de septante ans, un permis de rentier ne sont pas réalisées. Les plus grands doutes subsistent sur la réelle volonté de la recourante d’être intégrée en Suisse et le risque demeure patent qu'elle y demeure sous la dépendance de ses proches. La recourante fait état d'une évolution défavorable de son état de santé. Une hospitalisation au CHUV a révélé qu’elle souffrait d’un anévrysme de l’aorte ascendante; ce nonobstant, elle a refusé une intervention chirurgicale. En outre, il apparaît que des contrôles médicaux sont possibles au Kosovo, à distance raisonnable de la localité où elle habite. Au surplus, l'affection dont elle souffre, tout en étant d’une certaine gravité, ne la rend nullement dépendante de ses enfants vivant en Suisse, au point qu’il s’impose de délivrer un permis humanitaire en sa faveur.</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La recourante a requis la production, en mains du CHUV et des docteurs E.Z.________, à 3********, et F.W.________, à 1********, copie des dossiers médicaux la concernant. Comme on le verra plus loin, elle offre de prouver ainsi que son état de santé aurait évolué de façon défavorable, au point qu’il constituerait un cas de rigueur au sens où l’entend l'art. 30 al. 1 let. b LEtr, justifiant la délivrance en sa faveur d’une autorisation de séjour. a) Devant la Cour de droit administratif et public du Tribunal cantonal, la procédure est en principe écrite (art. 27 LPA-VD). Les parties participent à l'administration des preuves (art. 34 al. 1 LPA-VD). A cet effet, l’autorité peut, notamment, recourir aux moyens de preuve suivants (art. 29 al. 1 LPA-VD): documents, titres et rapports officiels (let. d); renseignements fournis par les parties, des autorités ou des tiers (let. e). Elle n'est toutefois pas liée par les offres de preuves formulées par les parties (art. 28 al. 2 LPA-VD); elle doit examiner les allégués de fait et de droit et administrer les preuves requises, si ces moyens n'apparaissent pas d'emblée dénués de pertinence (art. 34 al. 3 LPA-VD). Sans qu’il n’en résulte une violation du droit d’être entendu, garanti par les art. 29 al. 2 de la Constitution fédérale du 18 avril 1999 (Cst.; RS 101) et 27 al. 2 de la Constitution du canton de Vaud, du 14 avril 2003 (Cst./VD; RSV 101.01), l'autorité peut renoncer au moyen de preuve offert par une partie, pour autant qu'elle puisse admettre sans arbitraire que ce moyen n'aurait pas changé sa conviction (ATF 131 I 153 consid. 3 p. 157; 130 II 425 consid. 2.1 p. 429; 124 I 241 consid. 2 p. 242, et les arrêts cités).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 ATF 134 I 140 consid. 5.3). b) Bien que le tribunal établisse les faits et applique le droit d’office, il revient à la recourante, d’autant plus qu’elle est assisté par un mandataire professionnel, de collaborer et de renseigner le tribunal sur les éléments déterminants. On rappelle à cet égard que les parties sont tenues de collaborer à la constatation des faits dont elles entendent déduire des droits (art. 30 al. 1 LPA-VD). Lorsque les parties refusent de prêter le concours qu'on peut attendre d'elles à l'établissement des faits, l'autorité peut statuer en l'état du dossier (al. 2). En l’occurrence, il appartenait à la recourante de produire elle-même copie de l’entier de ses dossiers médicaux, si elle souhaitait que le tribunal en ait connaissance. Or elle a produit deux certificats du Dr Z.________, dont celui établi récemment (29 avril 2015). Les éléments mentionnés dans ce certificat permettent au Tribunal d’être renseigné sur les problèmes de santé de la recourante et il n’y a dès lors pas lieu d’ordonner la production et d’analyser l’entier de ses dossiers médicaux. Il est permis de partir de l’idée que le certificat médical susmentionné renseigne sur tous les problèmes de santé de la recourante et ce n’est à l’évidence pas le rôle du Tribunal que d’étudier les dossiers médicaux pour vérifier qu’il n’existe pas d’autres problèmes de santé que le médecin-traitant de l’intéressée aurait omis de signaler (dans le même sens, arrêt PE.2014.0116 du 30 octobre 2014). On relèvera par ailleurs que la recourante n’a pas donné suite à la réquisition du SPOP du 4 mai 2015 de produire dès que possible le rapport médical suite au contrôle qu’elle devait subir en juin 2015. Au surplus, l’autorité intimée a produit son dossier complet, les faits sont établis et les offres de preuve qui motivent la réquisition de la recourante ne sont pas déterminantes pour la résolution du litige, comme on le verra ci-dessous. Ce dernier a en effet trait à des questions d’ordre exclusivement juridique, que le Tribunal examine avec un plein pouvoir d’examen (cf. art. 98 LPA-VD). Dès lors, par appréciation anticipée des preuves, la cour s’estime en mesure de statuer en connaissance de cause, en se dispensant de donner suite à la réquisition d’instruction formulée par la recourante.</w:t>
      </w:r>
    </w:p>
    <w:p>
      <w:r>
        <w:rPr>
          <w:b/>
        </w:rPr>
        <w:t>E. 3</w:t>
      </w:r>
    </w:p>
    <w:p>
      <w:r>
        <w:t>Le recours est dirigé contre le refus de l’autorité intimée de revenir sur sa décision du 20 juin 2014, définitive et exécutoire. a) La demande de réexamen (aussi appelée demande de nouvel examen ou de reconsidération) est adressée à une autorité administrative en vue d'obtenir l'annulation ou la modification d'une décision qu'elle a prise (v. ATAF 2010/5 du 5 février 2010, consid. 2.1.1, références citées).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Ces principes sont rappelés à l'art. 64 LPA-VD, à teneur duquel: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n'avait pas de raison de se prévaloir à cette époque, ou c. si la première décision a été influencée par un crime ou un délit.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136 II 177 consid. 2.1; 120 Ib 42 consid. 2b p. 46/47, et les arrêts cités; ATF 2D_138/2008 du 10 juin 2009 consid. 3.2 et les références). Le droit des étrangers n'échappe pas à cette règle (ATF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4</w:t>
      </w:r>
    </w:p>
    <w:p>
      <w:r>
        <w:t>A l’appui de sa demande, la recourante fait valoir deux éléments: l’intensité des liens qu’elle entretiendrait avec la Suisse, d’une part, et l’évolution défavorable de son état de santé, d’autre part. a) Aux termes de l’art. 28 LEtr, un étranger qui n'exerce plus d'activité lucrative peut être admis aux conditions suivantes: il a l'âge minimum fixé par le Conseil fédéral (let. a); il a des liens personnels particuliers avec la Suisse (let. b); il dispose des moyens financiers nécessaires (let. c). Dans son arrêt du 24 novembre 2014, le Tribunal cantonal avait constaté que la recourante ne pouvait se prévaloir de liens propres avec la Suisse antérieurs à son arrivée en août 2012, de sorte que la deuxième des trois conditions cumulatives n’était pas réalisée. Aujourd’hui, la recourante se borne à reprendre sur ce point les explications déjà mises en avant à l’appui de son précédent recours, dont le Tribunal avait pourtant retiré que ses liens avec notre pays se résumaient au fait que plusieurs de ses proches y étaient établis (consid. 3d). Il n’y a donc pas lieu d’y revenir. La recourante met nouvellement en avant deux éléments à cet égard. Tout d’abord, elle aurait tissé des liens d’amitié avec la voisine de son fils chez qui elle est hébergée, G.H._________. A supposer qu’elle soit nouvelle au sens de l’art. 64 al. 1 LPA-VD, ce qui n’est de toute façon pas démontré, cette circonstance serait, à elle seule, insuffisante pour retenir l’existence d'attaches en rapport avec la Suisse qui soient propres à la recourante; cela d’autant moins qu’il ne s’agit que d’un lien indirect, G.H._________ étant la voisine d’B.X.________. Par ailleurs, la recourante explique avoir débuté des cours de français auprès de l’Ecole-club Migros. Dans l’arrêt précité en effet, il avait été relevé que l'intégration de la recourante serait sans doute difficile, en particulier parce qu'elle ne parlait pas le français «(…) et qu’il [était] dès lors prévisible que celle-ci se trouverait en Suisse dans un rapport de dépendance vis-à-vis de ses proches parents, voire d'isolement, au sens de la jurisprudence précitée» (consid. 3d). De la pièce produite par la recourante, il ressort effectivement que ces cours ont débuté le 12 janvier 2015, soit postérieurement à l’état de fait retenu dans l’arrêt du 24 novembre 2014. Cela étant, on observe que la recourante vit en Suisse depuis le 29 août 2012 et qu’elle y a effectué, selon ses propres indications, plusieurs séjours par le passé; elle a donc attendu deux ans et demi avant d’entreprendre un effort en vue de son intégration. En outre et surtout, c’est seulement après avoir pris connaissance de l’arrêt du 24 novembre 2014 et notamment de son considérant 3d) que la recourante s’est résolue à suivre des cours de français. Par conséquent, les plus grands doutes subsistent sur sa réelle volonté d’être intégrée en Suisse. Quoi qu’il en soit, le risque demeure patent que la recourante, qui vit chez son fils et sa belle-fille, demeure sous la dépendance de ses proches. Les éléments invoqués à l’appui de la demande de reconsidération ne permettant pas de démontrer l’existence de liens personnels particuliers de la recourante avec la Suisse, il est superfétatoire d’examiner si celle-ci dispose des moyens financiers nécessaires pour y séjourner. b) La recourante met également en avant l’évolution défavorable de son état de santé; elle considère qu'elle réalise les conditions d'un cas d'extrême gravité au sens de l'art. 30 al. 1 let. b LEtr. A teneur de cette disposition,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de l'ordonnance fédérale du 24 octobre 2007 relative à l'admission, au séjour et à l'exercice d'une activité lucrative (OASA; RS 142.201), comme il suit: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arrêt PE.2014.0099 du 14 mai 2014 consid. 2a et les références citées). A cet égard, les relations de travail, d'amitié ou de voisinage que le requérant a pu nouer pendant son séjour ne constituent normalement pas des liens si étroits avec la Suisse qu'ils justifieraient à eux seuls une exemption des mesures de limitation du nombre des étrangers (ATF 130 II 39 consid. 3 et la référence citée).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(arrêt PE.2013.0416 du 21 mai 2014). De même, l'étranger qui entre pour la première fois en Suisse en souffrant déjà d'une sérieuse atteinte à la santé ne saurait se fonder uniquement sur ce motif médical pour réclamer une telle exemption (ATF 128 II 200 consid. 5.3 p. 209 et les références). Pour juger de l'état de santé des personnes concernées, on peut se référer à des rapports médicaux, des certificats médicaux, des rapports émanant de centres de soins, de services sociaux ou encore à des rapports établis par la Section Analyses du Secrétariat d’Etat aux migrations (SEM; cf. Directive I. Domaine de étrangers, état au 1 er juillet 2015, ch. 5.6.4.6). En l'occurrence, ces conditions ne sont pas réunies. La recourante est âgée de septante ans. Veuve depuis sept ans, elle vivait alors au Kosovo avec l’une de ses filles, I., dans sa maison, à Shtime, lorsqu’elle est venue rejoindre l’un de ses fils, à 1********. Certes, une hospitalisation au CHUV en mai 2014 a révélé qu’elle souffrait d’un anévrysme de l’aorte ascendante. Son état de santé nécessite depuis lors des contrôles réguliers avec des moyens technologiques importants, la recourante étant exposée au risque d’une dissection de l’aorte motivant une intervention en urgence pour éviter un décès (cf. certificat du Dr Z.________ du 29 avril 2015). Or on observe que, nonobstant cela, la recourante a refusé une intervention chirurgicale qui eût sans doute éloigné ce risque, dès le printemps dernier. Par ailleurs, on relève que lors du dépôt de son recours le 21 juillet 2014 dans la cause PE.2014.0290, la recourante n’a nullement fait état de son état de santé fragile, alors même qu’elle connaissait, depuis mai 2014, l’affection cardiaque dont elle était atteinte et la nécessité de se faire opérer. De plus, dans son pays, la recourante était suivie à Ferizaj, chef lieu de la province, par un service hospitalier ambulatoire, au sein duquel exerce un cardiologue, dont un certificat du 24 octobre 2008 figure du reste au dossier. Des contrôles réguliers de l’état de santé de la recourante sont dès lors possibles au Kosovo, d’autant plus que le trajet entre Shtime et Ferizaj prendrait, selon le site www.google.com/maps, une vingtaine de minutes à peine. Dès lors, la recourante n'apporte pas la preuve qu'il n'existerait aucune structure médicale au Kosovo apte à prendre en charge la poursuite de son traitement médical. Elle pourrait en outre bénéficier, si nécessaire, d’une aide à domicile dans son pays, dont ses enfants paraissent en mesure d’assurer le financement. Par conséquent, les éléments nouvellement invoqués par la recourante ne permettent pas de retenir que celle-ci constituerait un cas de rigueur justifiant qu’une autorisation de séjour lui soit octroyée.</w:t>
      </w:r>
    </w:p>
    <w:p>
      <w:r>
        <w:rPr>
          <w:b/>
        </w:rPr>
        <w:t>E. 5</w:t>
      </w:r>
    </w:p>
    <w:p>
      <w:r>
        <w:t>Afin de contester son renvoi, la recourante se prévaut, par surcroît, de la protection de sa vie familiale découlant de l'art. 8 par. 1 de la Convention de sauvegarde des droits de l'homme et des libertés fondamentales, du 4 novembre 1950 (CEDH; RS 0.101) et de l'art. 13 Cst. A l’appui de ses explications, elle ne se fonde ni sur un fait nouveau au sens de l’art. 64 al. 2 let. a LPA-VD, ni sur un fait ou un moyen qu’elle ne pouvait pas connaître au sens de la lettre b du même alinéa. Par conséquent, il est douteux que ce moyen, qui aurait dû faire l’objet d’un examen dans le cadre du recours contre le refus de délivrance du permis de séjour, puisse être invoqué utilement à l’appui d’une demande de reconsidération dudit refus. Quoi qu’il en soit, il n’est de toute façon pas fondé pour les motifs qui vont suivre. a) Pour s'opposer à une éventuelle séparation de sa famille, à condition qu'il entretienne une relation étroite et effective avec une personne de sa famille ayant le droit de résider durablement en Suisse (ATF 137 I 284 consid. 1.3 p. 287; 136 II 177 consid. 1.2 p. 180; ATF 2C_639/2012 du 13 février 2013 consid. 1.2.2). Les relations visées par l'art. 8 CEDH sont avant tout celles qui existent entre époux, ainsi que les relations entre parents et enfants mineurs vivant en ménage commun (ATF 135 I 143 consid. 1.3.2 p. 146; 127 II 60 consid. 1d/aa p. 65; ATF 2C_40/2012 du 15 octobre 2012 consid. 8). Un étranger majeur ne peut se prévaloir de cette disposition que s'il se trouve dans un état de dépendance particulier par rapport à des membres de sa famille résidant en Suisse en raison, par exemple, d'un handicap (physique ou mental) ou d'une maladie grave (ATF 129 II 11 consid. 2 p. 13 s.; 120 Ib 257 consid. 1d p. 261; ATF 2C_432/2011 du 13 octobre 2011 consid. 3.2). b) Ces conditions très restrictives ne sont pas réalisées dans le cas d’espèce. La recourante souffre sans doute d’une affection que l’on peut considérer comme étant d’une certaine gravité. Contrairement à ses explications, celle-ci ne la rend toutefois nullement dépendante de ses enfants vivant en Suisse, au point qu’il s’impose de délivrer un permis humanitaire en sa faveur. Du reste, l’une de ses filles vit dans sa maison, au Kosovo, et une autre habite la même localité. Au risque de se répéter, la recourante est en mesure, grâce au soutien financier des ses enfants, de bénéficier dans son pays d’une assistance, notamment médicale, sous forme d’aide à domicile, afin qu’elle puisse effectuer des contrôles réguliers de son état de santé et soit en mesure de suivre les prescriptions médicamenteuses imposées par celui-ci.</w:t>
      </w:r>
    </w:p>
    <w:p>
      <w:r>
        <w:rPr>
          <w:b/>
        </w:rPr>
        <w:t>E. 6</w:t>
      </w:r>
    </w:p>
    <w:p>
      <w:r>
        <w:t>Il s’ensuit que le recours doit être rejeté et la décision attaquée, confirmée. Un émolument judiciaire sera mis à la charge de la recourante, qui succombe (art. 49 al. 1, 91 et 99 LPA-VD). L’allocation de dépens n’entre pas en ligne de compte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