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PE.2015.0170 vom 24. Juli 2015</w:t>
      </w:r>
    </w:p>
    <w:p>
      <w:r>
        <w:t>VD Tribunal cantonal, 2015-07-24, FR</w:t>
      </w:r>
    </w:p>
    <w:p>
      <w:r>
        <w:rPr>
          <w:b/>
        </w:rPr>
        <w:t xml:space="preserve">Quelle: </w:t>
      </w:r>
      <w:r>
        <w:t>https://mcp.opencaselaw.ch/entscheid/vd_omni_PE.2015.0170</w:t>
      </w:r>
    </w:p>
    <w:p>
      <w:r>
        <w:t>FR: VD_OMNI PE.2015.0170 du 24 juillet 2015</w:t>
      </w:r>
    </w:p>
    <w:p>
      <w:r>
        <w:t>IT: VD_OMNI PE.2015.0170 del 24 luglio 2015</w:t>
      </w:r>
    </w:p>
    <w:p>
      <w:pPr>
        <w:pStyle w:val="Heading2"/>
      </w:pPr>
      <w:r>
        <w:t>Regeste</w:t>
      </w:r>
    </w:p>
    <w:p>
      <w:r>
        <w:t>A.X.________/Service de la population (SPOP) | Refus de délivrer une autorisation de séjour (permis B) au recourant au bénéfice d'une admission provisoire (permis F): pourtant titulaire d'un CFC de peintre, le recourant est entièrement assisté par l'EVAM et a fait l'objet de huit condamnations pénales; il n'est ainsi à l'heure actuelle pas bien intégré en Suisse. Recours rejeté.</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Cette disposition a repris la plupart des critères développés par le Tribunal fédéral, puis par le Tribunal administratif fédéral dès 2007, sous l'empire de l'art. 13 let. f de l'ancienne ordonnance sur le séjour et l'établissement des étrangers du 6 octobre 1986 (aOLE), lorsqu'il s'agissait de définir les cas de rigueur permettant d'obtenir une autorisation de séjour exemptée des mesures de limitation (v. arrêt TF 2C_216/2009 du 20 août 2009 consid. 2.2).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TF 2A.69/2007 du 10 mai 2007 consid. 3).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(voir notamment arrêts PE.2011.0321 du 2 novembre 2011; PE.2008.0350 du 30 juin 2009; PE.2008.0216 du 27 février 2009).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TF 2A.11/2001 du 5 juin 2001, consid. 3a). b) En l'espèce, le recourant, pourtant au bénéfice d'une formation de peintre avec CFC depuis 2013, n'a pas accédé à l'indépendance financière: il n'exerce ainsi pas d'activité lucrative et est entièrement assisté par l'EVAM depuis le 1 er décembre 2014, voire le 1 er septembre 2014 et il n'apparaît pas que cette situation serait appelée à changer dans un avenir proche, le recourant n'ayant en particulier produit aucune promesse d'embauche. En outre, il faisait l'objet, le 14 août 2014, de poursuites pour un montant de 160.20 fr. et présentait des actes de défaut de biens pour un montant de 8'878.75 francs. Quant à son comportement en Suisse, il n'est pas exempt de tout reproche; il a ainsi fait l'objet de huit condamnations pénales, dont les deux plus récentes datent du 27 janvier 2014 et du 18 juillet 2014. Compte tenu de sa situation économique précaire et de son comportement, on ne saurait ainsi considérer que le recourant serait à l'heure actuelle bien intégré en Suisse et il ne remplit ainsi pas les conditions posées par l'art. 84 al. 5 LEtr en relation avec les art. 30 al. 1 let. b LEtr et 31 OASA. C'est ainsi à juste titre que l'autorité intimée a refusé de délivrer au recourant une autorisation de séjour (permis B). Il sied toutefois de relever que le recourant, qui bénéficie d'une admission provisoire (permis F), n'est pas contraint de quitter la Suisse et qu'il pourra déposer une nouvelle demande d'autorisation de séjour une fois qu'il aura, notamment, durablement accédé à une indépendance financière et fait preuve durablement d'un comportement irréprochable.</w:t>
      </w:r>
    </w:p>
    <w:p>
      <w:r>
        <w:rPr>
          <w:b/>
        </w:rPr>
        <w:t>E. 2</w:t>
      </w:r>
    </w:p>
    <w:p>
      <w:r>
        <w:t>Manifestement mal fondé, le recours doit partant être rejeté et la décision attaquée, confirmée. Pour le même motif, la requête d'assistance judiciaire de la recourante doit être rejetée (art. 18 al. 1 de la loi du 28 octobre 2008 sur la procédure administrative - LPA-VD; RSV 173.36). Il se justifie de statuer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