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PE.2015.0164 vom 12. November 2015</w:t>
      </w:r>
    </w:p>
    <w:p>
      <w:r>
        <w:t>VD Tribunal cantonal, 2015-11-12, FR</w:t>
      </w:r>
    </w:p>
    <w:p>
      <w:r>
        <w:rPr>
          <w:b/>
        </w:rPr>
        <w:t xml:space="preserve">Quelle: </w:t>
      </w:r>
      <w:r>
        <w:t>https://mcp.opencaselaw.ch/entscheid/vd_omni_PE.2015.0164</w:t>
      </w:r>
    </w:p>
    <w:p>
      <w:r>
        <w:t>FR: VD_OMNI PE.2015.0164 du 12 novembre 2015</w:t>
      </w:r>
    </w:p>
    <w:p>
      <w:r>
        <w:t>IT: VD_OMNI PE.2015.0164 del 12 novembre 2015</w:t>
      </w:r>
    </w:p>
    <w:p>
      <w:pPr>
        <w:pStyle w:val="Heading2"/>
      </w:pPr>
      <w:r>
        <w:t>Regeste</w:t>
      </w:r>
    </w:p>
    <w:p>
      <w:r>
        <w:t>A. B________/Service de la population (SPOP) | Rejet du recours contre le refus d'octroyer une autorisation de séjour à un ressortissant guinéen, et ordonnant son renvoi de Suisse. La gravité des infractions pénales commises par le recourant en Suisse en 2005 (peine privative de liberté de 4 ans et demi notamment pour infraction à la loi fédérale sur les stupéfiants) et en Italie en 2011 (peine privative de liberté de 1 an et 8 mois pour détention illicite de stupéfiants) constitue un intérêt public prépondérant qui l'emporte sur l'intérêt privé du recourant à vivre en Suisse auprès de sa compagne et de leurs deux enfants mineurs, titulaires d'une autorisation de séjour. Recours au TF déclaré irrecevable (arrêt TF 2C_1119/2015 du 17.12.2015).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Le recourant conteste le refus de l'autorité intimée de lui octroyer une autorisation de séjour par regroupement familial, en raison de ses condamnations pénales. Il se prévaut du droit au respect de sa vie privée et familiale garanti par l'art. 8 par. 1 CEDH; il estime que son intérêt à pouvoir vivre auprès de sa famille l'emporte sur l'intérêt public à l'éloigner de la Suisse. a) Un étranger peut, selon les circonstances, se prévaloir de l'art. 8 par. 1 CEDH pour s'opposer à l'éventuelle séparation de sa famille. Les relations familiales protégées par cette disposition sont avant tout les rapports entre époux ainsi qu'entre parents et enfants mineurs vivant ensemble (ATF 135 I 143 consid. 1.3.2, 127 II 60 consid. 1d/aa). Pour pouvoir invoquer la protection de la vie familiale découlant de cette disposition, l'étranger doit de plus entretenir une relation étroite et effective avec une personne de sa famille ayant le droit de résider en Suisse (ATF 137 I 284 consid. 1.3). En l'occurrence, le recourant vit avec ses deux enfants qui ont obtenu une autorisation de séjour annuelle, et il dispose de l'autorité parentale conjointe, de sorte qu'il est fondé, selon la jurisprudence du Tribunal fédéral, à invoquer la protection de sa vie privée et familiale garantie par l'art. 8 par. 1 CEDH. b) Le droit au respect de la vie privée et familiale garanti par l'art. 8 par. 1 CEDH n'est cependant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cette disposition implique une pesée des intérêts publics et privés en présence et l'examen de la proportionnalité de la mesure. Lors de cet examen, il y a lieu de prendre en considération la gravité de la faute commise par l'étranger, son degré d'intégration, la durée de son séjour en Suisse, ainsi que le préjudice que l'intéressé et sa famille auraient à subir en raison de la mesure (ATF 135 II 377 consid. 4.3, 135 I 153 consid. 2.1; arrêt TF 2C_1071/2013 du 6 juin 2014 consid. 5.3). Lorsque le refus d'octroyer une autorisation de séjour se fonde sur la commission d'une infraction, la peine infligée par le juge pénal est le premier critère servant à évaluer la gravité de la faute et à procéder à la pesée des intérêts en présence (arrêts TF 2C_977/2012 du 15 mars 2013 consid. 3.6; 2C_855/2012 du 21 janvier 2013 consid. 6.1; 2C_117/2012 du 11 juin 2012 consid. 4.5.1). A cet égard, le Tribunal fédéral se montre particulièrement rigoureux en présence d'infractions à la législation fédérale sur les stupéfiants (ATF 139 II 121 consid. 5.3 et les références citées; arrêt TF 2C_139/2014 du 4 juillet 2014 cons 3.2). Le Tribunal fédéral a par ailleurs jugé qu'il y avait lieu de s'en tenir à sa pratique selon laquelle un étranger qui a été condamné à une peine privative de liberté de deux ans ou plus et qui n'a séjourné en Suisse que peu de temps ne saurait en principe bénéficier d'un titre de séjour, même lorsqu'on ne peut pas ou difficilement exiger de son conjoint suisse qu'il quitte son pays (ATF 135 II 377 consid. 4.4 et 4.5; 134 II 10 consid. 4.3; 130 II 176 consid. 4.1). Cette limite de deux ans n'est pas absolue et elle a été fixée à titre indicatif; elle doit être appréciée au regard de toutes les circonstances du cas (arrêts TF 2C_855/2012 du 21 janvier 2013 consid. 6.1, 2C_1071/2013 du 11 juin 2012 consid. 5.3). Les années passées en Suisse en prison ne sont pas prises en considération et celles qui l'ont été dans l'illégalité ou au bénéfice d'une simple tolérance ne revêtent que peu de poids et ne sont par conséquent pas déterminantes (ATF 137 II 1 consid. 4.2, 134 II 10 consid. 4.3; arrêt TF 2C_977/2012 du 15 mars 2013 consid. 3.6). L'existence d'une condamnation pénale ne peut en principe pas faire indéfiniment échec à l'examen d'une demande d'autorisation de séjour (arrêts TF 2C_1224/2013 du 12 décembre 2014 consid 5.1.1; 2C_953/2013 du 16 septembre 2014 consid. 3.3; 2C_1163/2013 du 8 août 2014 consid. 4.2; 2C_1170/2013 du 24 mai 2013 consid. 3.3; 2C_817/21012 du 19 février 2013 consid. 3.2.1; 2C_36/2009 du 20 octobre 2009 consid. 3.2). Le refus d'accorder une autorisation de séjour se justifie s'il est conforme au principe de la proportionnalité (art. 96 de la loi fédérale sur les étrangers du 16 décembre 2005 [LEtr; RS 142.20]; cf. arrêts TF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(arrêts TF 2C_1170/2013 consid. 3.3; 2C_964/2010 du 5 décembre 2011 consid. 3.3;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(arrêts TF 2C_46/2014 du 15 septembre 2014 consid. 6.4.1; 2C_1170/2013 consid. 3.3; 2C_36/2009 du 20 octobre 2009 consid. 3.2). En ce qui concerne l'intérêt public au maintien de l'éloignement de l'étranger, le point de savoir à partir de quel moment les actes pénaux commis dans le passé ne peuvent désormais plus s'opposer au regroupement familial dépend des circonstances. L'appréciation du risque de récidive est fonction de la nature et de l'intensité de l'atteinte aux biens juridiques concernés: plus les atteintes sont graves, plus il convient de se montrer circonspect dans l'appréciation du risque de récidive (cf. arrêts TF 2C_1170/2013 du 24 mai 2013 consid. 2.1 et 3.5.3; 2C_36/2009 du 20 octobre 2009 consid. 3.2 in fine). c) En l'espèce, le recourant a été condamné en 2005 par la Cour de cassation pénale à une peine privative de liberté de quatre ans et six mois pour infractions à la LStup, recel et blanchiment d'argent. Vu la nature des infractions et la durée importante de la peine infligée, il y a lieu, selon la jurisprudence précitée, d'être particulièrement rigoureux pour évaluer l'intérêt public à éloigner le recourant, en particulier pour apprécier le risque de récidive. Dans son recours, le recourant s'est prévalu de son comportement prétendument irréprochable depuis sa sortie de prison en 2007. Le recourant a toutefois délibérément omis de mentionner le fait qu'il avait été condamné en Italie en janvier 2011 à une peine privative de liberté d'un an et huit mois pour détention de stupéfiants. Les explications données par le recourant à propos de ces faits ne sont pas crédibles. Il est en effet peu vraisemblable que le recourant se soit retrouvé fortuitement dans un appartement dans lequel une quantité indéterminée de stupéfiants – mais à première vue importante au vu de la peine infligée - a été découverte par la police, compte tenu de ses antécédents judiciaires. Par ailleurs, le recourant n'a pas recouru contre le jugement pénal italien et sa condamnation est aujourd'hui définitive. Cette nouvelle condamnation pèse lourdement en défaveur du recourant dans l'appréciation du risque de récidive qui doit être qualifié d'actuel et d'important. L'intérêt privé du recourant à demeurer en Suisse auprès de ses enfants et de sa compagne est lui aussi important. Il dispose de l'autorité parentale conjointe et il vit avec eux depuis un certain temps. Il n'est toutefois pas possible de déterminer précisément à partir de quelle date le recourant est revenu en Suisse. En effet, ses déclarations à cet égard diffèrent; lors de son interpellation par la Police de Lausanne le 18 janvier 2013, il a indiqué vivre en Suisse depuis 2012 mais dans son recours il mentionne 2010. Il n'est pas non plus contesté que sa présence auprès de ses enfants apparaît favorable à leur développement puisque la mère des enfants travaille pratiquement à plein temps et que les pièces au dossier démontrent que le recourant s'implique personnellement dans leur éducation. Toutefois, on constate que ni la naissance de ses enfants ni le fait de partager une vie de famille avec sa compagne et ses enfants ne l'ont dissuadé de commettre de nouveaux actes délictueux. Le recourant n'a donc pas compris la gravité de ses actes en matière de stupéfiants, type de criminalité pour lequel, dans ce contexte, la jurisprudence se montre particulièrement rigoureuse. Il a en outre dissimulé cette condamnation en se prévalant faussement de son comportement exemplaire depuis sa sortie de prison en 2007. Dans ces conditions, au vu de la gravité des infractions commises par le recourant en 2005 et 2010, il existe un intérêt public important et actuel à son éloignement qui l'emporte sur son intérêt privé à demeurer en Suisse où résident sa compagne et ses enfants. La décision attaquée qui refuse l'octroi d'une autorisation de séjour par regroupement familial au recourant respecte ainsi le principe de la proportionnalité et l'art. 8 CEDH. On parvient à cette conclusion sans qu'il soit nécessaire de compléter l'instruction au sujet de la vie familiale; aussi ne se justifie-t-il pas de donner suite à la réquisition tendant à l'audition de la compagne du recourant.</w:t>
      </w:r>
    </w:p>
    <w:p>
      <w:r>
        <w:rPr>
          <w:b/>
        </w:rPr>
        <w:t>E. 3</w:t>
      </w:r>
    </w:p>
    <w:p>
      <w:r>
        <w:t>Il résulte des considérants qui précèdent que le recours, mal fondé, doit être rejeté et la décision attaquée confirmée. Il appartiendra au SPOP de fixer un nouveau délai de départ au recourant. Vu le sort de la cause, un émolument judiciaire est mis à la charge du recourant (cf. art. 49 al. 1 LPA-VD) et il n'est pas alloué de dépens (cf.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