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PE.2015.0144 vom 18. November 2015</w:t>
      </w:r>
    </w:p>
    <w:p>
      <w:r>
        <w:t>VD Tribunal cantonal, 2015-11-18, FR</w:t>
      </w:r>
    </w:p>
    <w:p>
      <w:r>
        <w:rPr>
          <w:b/>
        </w:rPr>
        <w:t xml:space="preserve">Quelle: </w:t>
      </w:r>
      <w:r>
        <w:t>https://mcp.opencaselaw.ch/entscheid/vd_omni_PE.2015.0144</w:t>
      </w:r>
    </w:p>
    <w:p>
      <w:r>
        <w:t>FR: VD_OMNI PE.2015.0144 du 18 novembre 2015</w:t>
      </w:r>
    </w:p>
    <w:p>
      <w:r>
        <w:t>IT: VD_OMNI PE.2015.0144 del 18 novembre 2015</w:t>
      </w:r>
    </w:p>
    <w:p>
      <w:pPr>
        <w:pStyle w:val="Heading2"/>
      </w:pPr>
      <w:r>
        <w:t>Regeste</w:t>
      </w:r>
    </w:p>
    <w:p>
      <w:r>
        <w:t>A.X.________ /Service de la population (SPOP) | Rejet du recours contre le refus du renouvellement de l'autorisation de séjour d'un ressortissant ivoirien, son mariage avec une compatriote au bénéfice d'une autorisation d'établissement ayant duré moins de trois ans. Absence de raisons personnelles majeures au sens de l'art. 50 al. 1 let. b LEtr et d'un cas d'extrême gravité au sens de l'art. 30 al. 1 let. b LEtr. Le recourant ne rend pas vraisemblable l'existence de violences conjugales commises par son épouse. Il n'a pas d'enfant en Suisse ni de lien étroit avec une personne résidant en Suisse. Agé 39 ans et en bonne santé, il a conservé des liens étroits avec son pays d'origine, où il a vécu les 32 premières années de sa vie, et où sa réintégration n'apparaît pas compromise. Recours au Tribunal fédéral déclaré irrecevable par arrêt du 18 novembre 2015 (2C_1021/2015).</w:t>
      </w:r>
    </w:p>
    <w:p>
      <w:pPr>
        <w:pStyle w:val="Heading2"/>
      </w:pPr>
      <w:r>
        <w:t>Erwägungen</w:t>
      </w:r>
    </w:p>
    <w:p>
      <w:r>
        <w:rPr>
          <w:b/>
        </w:rPr>
        <w:t>E. 1</w:t>
      </w:r>
    </w:p>
    <w:p>
      <w:r>
        <w:t>Aux termes de l'art. 92 de la loi vaudoise du 28 octobre 2008 sur la procédure administrative (LPA-VD; RSV 173.36), le Tribunal cantonal connaît des recours contre les décisions et décisions sur recours rendues par les autorités administratives, lorsque la loi ne prévoit aucune autorité pour en connaître. La Cour de droit administratif et public (CDAP) est ainsi compétente pour statuer notamment sur les recours interjetés contre les décisions du SPOP rendues en matière de police des étrangers. Déposé en temps utile, selon les formes prescrites par la loi, le recours est formellement recevable, de sorte qu'il y a lieu d'entrer en matière sur le fond.</w:t>
      </w:r>
    </w:p>
    <w:p>
      <w:r>
        <w:rPr>
          <w:b/>
        </w:rPr>
        <w:t>E. 2</w:t>
      </w:r>
    </w:p>
    <w:p>
      <w:r>
        <w:t>a) Le recourant requiert que son épouse B.X.________ soit entendue sur la question de son domicile effectif pendant le mois de février 2014. b) Devant la CDAP, la procédure est en principe écrite (art. 27 LPA-VD). Les parties participent à l'administration des preuves (art. 34 al. 1 LPA-VD). A cet effet, l’autorité peut, notamment, entendre les parties et recueillir des témoignages (cf. art. 29 al. 1 let. a et f LPA-VD). Les art. 29 al. 2 Cst. et 27 al. 2 Cst./VD n’accordent pas à la partie dans la procédure devant la juridiction administrative le droit inconditionnel d’être entendue oralement, ni celui d’obtenir l’audition de témoins ou la mise en œuvre d’une expertise, à moins que soit en cause l’examen personnel de la partie en cause (ATF 134 I 140 consid. 5.3; ATF 122 II 464 consid. 4c). En outre,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137 III 208 consid. 2.2 p. 210; ATF 134 I 140 consid. 5.2 p. 147 s.; ATF 130 II 425 consid. 2.1 p. 429). c) En l’espèce, l’épouse du recourant a été entendue par la police de Lausanne au sujet des circonstances de la séparation et un procès-verbal de cette audition figure au dossier de l'autorité intimée. Le Tribunal s'estime ainsi suffisamment renseigné de sorte que, sur la base d'une appréciation anticipée des preuves, il n'est pas nécessaire de procéder à une nouvelle audition. 3.                Les ressortissants étrangers ne bénéficient en principe d'aucun droit à l'obtention d'une autorisation de séjour et de travail, sauf s'ils peuvent le déduire d'une norme particulière du droit fédéral ou d'un traité international (ATF 130 II 281 consid. 2.1; ATF 128 II 145 consid. 1.1.1, et les arrêts cités). Ressortissant de Côte d'Ivoire, le recourant ne peut pas invoquer en sa faveur un traité, notamment l'accord du 21 juin 1999 entre, d'une part, la Confédération suisse, et, d'autre part, la Communauté européenne et ses Etats membres sur la libre circulation des personnes (ALCP; RS 0.142.112.681), lequel est entré en vigueur le 1 er juin 2002. Son recours s'examine ainsi uniquement au regard du droit interne, soit la LEtr et ses ordonnances d’application.</w:t>
      </w:r>
    </w:p>
    <w:p>
      <w:r>
        <w:rPr>
          <w:b/>
        </w:rPr>
        <w:t>E. 3</w:t>
      </w:r>
    </w:p>
    <w:p>
      <w:r>
        <w:t>a) Le recourant conteste la date de séparation au 30 janvier 2014 retenue par l'autorité intimée. Selon lui, si son épouse a changé d'adresse le 29 janvier 2014, c'était en raison de la résiliation du bail de leur appartement, dans lequel elle aurait régulièrement séjourné jusqu'à l'état des lieux de sortie le 12 mars 2014. La séparation aurait eu lieu en réalité "entre la mi et la fin février 2014", de sorte que l'union conjugale, qui a débuté lors du mariage le 11 février 2011, aurait duré plus de trois ans. b) Aux termes de l'art. 44 LEtr, l'autorité compétente peut octroyer une autorisation de séjour au conjoint du titulaire d'une autorisation de séjour à la condition notamment qu'il vive en ménage commun avec lui (let. a). L'art. 49 LEtr prévoit une exception à l'exigence du ménage commun lorsque la communauté familiale (ou conjugale) est maintenue et que des raisons majeures justifiant l'existence de domiciles séparés peuvent être invoquées. Ces conditions sont cumulatives (TF 2C_204/2014 du 5 mai 2014 consid. 6.1; TF 2C_759/2010 du 28 janvier 2011 consid. 4.2). L'art. 76 OASA précise qu'une exception à l'exigence du ménage commun peut résulter de raisons majeures dues, notamment, à des obligations professionnelles ou à une séparation provisoire en raison de problèmes familiaux importants. Ces dispositions visent des situations exceptionnelles (TF 2C_635/2009 du 26 mars 2010 consid. 4.4).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Tel est généralement le cas d'une séparation de plus d'une année (TF 2C_560/2011 du 20 février 2012 consid. 3). Le fait qu'une reprise de la vie commune ne soit pas exclue n'est pas déterminant (TF 2C_654/2010 du 10 janvier 2011 consid. 2.3). Savoir si tout ou partie de la période dérogatoire admise selon l'art. 49 LEtr doit être prise en compte dans la durée prévue à l'art. 50 al. 1 let. a LEtr ne dépend ainsi pas tant de la durée formelle de l'autorisation de séjour qui est délivrée conformément à l'art. 49 LEtr, mais du maintien effectif du lien conjugal durant ladite période (ATF 140 II 345 consid. 4.4.1) . c) Selon l'art. 50 al. 1 let. a LEtr, après dissolution de la famille, le droit du conjoint à une autorisation de séjour et à la prolongation de sa durée de validité en vertu des art. 42 et 43 LEtr subsiste si l'union conjugale a duré au moins trois ans et que l'intégration est réussie. Ces deux conditions sont cumulatives (ATF 136 II 113 consid. 3.3.3; TF 2C_87/2014 du 27 octobre 2014 consid. 4.1). Le délai de trois ans prévu par cette disposition se calcule en fonction de la durée pendant laquelle les époux ont fait ménage commun en Suisse et vaut de façon absolue, quand bien même la fin de la vie conjugale serait intervenue quelques jours ou semaines seulement avant l'expiration du délai (TF 2C_418/2013 du 15 août 2013 consid. 4.1 et les références). Il se calcule depuis la date du mariage, à condition que la cohabitation ait lieu en Suisse, jusqu'à ce que les époux cessent d'habiter sous le même toit (ATF 136 II 113 consid. 3.2 et 3.3). Cette limite de trente-six mois est absolue et ne peut être assouplie, même de quelques jours (TF 2C_50/2015 du 26 juin 2015 consid. 3.1; TF 2C_594/2010 du 24 novembre 2010 et références citées). La notion d'union conjugale de l'art. 50 al. 1 let. a LEtr ne se confond pas avec celle du mariage, mais suppose que la relation conjugale ait été effectivement vécue. Alors que le mariage peut n'être plus que formel, l'union conjugale implique une vie conjugale effective, sous réserve des exceptions mentionnées à l'art. 49 LEtr (ATF 137 II 345 consid. 3.1.2; ATF 136 II 113 consid. 3.2; TF 2C_748/2011 du 11 juin 2012 consid. 2.1). Dans le calcul de sa durée, il y a surtout lieu de prendre en compte la période durant laquelle les époux ont fait ménage commun d'une manière perceptible par les tiers (ATF 138 II 229 consid. 2; TF 2C_24/2013 du 3 mai 2013 consid. 2.1). Cette notion ne se confond pas non plus avec celle de la seule cohabitation, par exemple en attendant que l'un des conjoints puisse trouver un logement et se constituer un domicile séparé, mais implique une volonté matrimoniale commune de la part des époux (TF 2C_1258/2012 du 2 août 2013 consid. 4.1; TF 2C_748/2011 du 11 juin 2012). d) En l'espèce, lors de son audition par la police le 10 mai 2014, soit une dizaine de jours après l'audience de mesures protectrices de l'union conjugale du 30 avril 2014, l'épouse du recourant a déclaré qu'elle avait quitté le domicile conjugal le 20 janvier 2014 et qu'elle avait la ferme intention de divorcer. Le contrôle des habitants a d'ailleurs enregistré son départ au 29 janvier 2014, dès lors qu'il a indiqué au SPOP que le recourant était séparé de fait depuis cette date. Le recourant a quant à lui expliqué à la police que son épouse était partie le 30 janvier 2014 sans lui donner d'explications sur les raisons de son départ. Il précisait qu'il avait tenté de lui demander pourquoi elle était partie, sans réponse, ce qui laisse penser qu'il n'a plus fait ménage commun avec son épouse depuis le départ de celle-ci. Il soutient, pour la première fois au stade du recours, que son épouse serait partie en raison de la résiliation du bail de leur appartement, et non par volonté de se séparer. Cette allégation est cependant contredite par les déclarations claires et univoques de B.X.________, qui a indiqué avoir quitté le domicile conjugal car elle avait le sentiment que son mari ne l'aimait pas et l'ignorait. Au surplus, le recourant ne démontre pas l'existence de raisons majeures qui auraient justifié la prise d'un domicile séparé et qui démontreraient l'existence d'une volonté de maintenir l'union conjugale durant la période de séparation. Au contraire, le fait que B.X.________ ait indiqué à la police qu'elle envisageait le divorce et ne voyait pas la possibilité de reprise d'une vie commune démontre que l'on ne se trouvait pas en présence d'une séparation temporaire due à des circonstances exceptionnelles au sens de l'art. 49 LEtr. Au demeurant, le recourant n'établit pas qu'il aurait repris la vie commune avec son épouse depuis lors. De plus, les déclarations du recourant comportent des contradictions importantes sur la date de la fin de la vie commune. En effet, alors qu'il a déclaré à la police que son épouse avait quitté le domicile conjugal le 30 janvier 2012, il indique dans son recours que la séparation a eu lieu au printemps 2014, soit au jour de l'audience de mesures protectrices de l'union conjugale, pour ensuite prétendre, dans ses déterminations du 15 juin 2015, que la séparation a eu lieu entre la mi et la fin février 2014, sans apporter le moindre indice à cet égard. Or, au vu des déclarations de son épouse et de la date du changement de domicile de celle-ci, la séparation doit être retenue comme remontant à fin janvier 2014, dès lors que c'est précisément la durée de la vie commune qui est déterminante, en tant qu'indice d'une volonté de maintenir l'union conjugale. Certes, dans son ordonnance du 13 mai 2014, la Présidente du Tribunal civil a retenu que la volonté de séparation amenant à un divorce n'était pas encore complètement établie et qu'une reprise de la vie commune n'était pas exclue. Comme on l'a vu ci-dessus, le fait qu'une reprise de la vie commune n'était pas exclue n'est toutefois pas déterminant. Or, au vu des déclarations des parties lors de leur audition par la police une dizaine de jours plus tard, force est de constater qu'aucune reprise de la vie commune n'avait eu lieu depuis le 30 janvier 2014 à tout le moins. En définitive, aucun indice ne vient contredire les déclarations des parties, dont il ressort, à suivre ce qu'a dit le recourant à la police, que la vie commune avait pris fin le 30 janvier 2014, et il n'existe pas de motif important jusitifiant de considérer que les parties, en particulier l’épouse du recourant, ait eu la volonté sérieuse de maintenir l'union conjugale au-delà de la date précitée. e) Au vu de ce qui précède, la première condition cumulative consacrée par l'art. 50 al. 1 let. a LEtr n’est pas réalisée, de sorte que c'est en vain que le recourant fait valoir qu’il est bien intégré en Suisse, même si aucun élément du dossier ne permet de mettre en doute la réalisation de cette condition. Il reste cependant à vérifier si le recourant peut invoquer d’autres dispositions pour prétendre au renouvellement de son autorisation de séjour.</w:t>
      </w:r>
    </w:p>
    <w:p>
      <w:r>
        <w:rPr>
          <w:b/>
        </w:rPr>
        <w:t>E. 4</w:t>
      </w:r>
    </w:p>
    <w:p>
      <w:r>
        <w:t>a) L'art. 50 al. 1 let. b LEtr prévoit qu'après dissolution de la famille, le droit du conjoint à l’octroi d’une autorisation de séjour et à sa prolongation subsiste lorsque la poursuite du séjour en Suisse s'impose pour des raisons personnelles majeures. Cette disposition vise à régler les situations qui échappent à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ATF 137 II 1 consid. 4.1). C'est la situation personnelle de l'intéressé qui est décisive et non l'intérêt public que revêt une politique migratoire restrictive. Il s’agit d’examiner si l’obligation de l'étranger d'avoir à quitter la Suisse après l'échec du mariage affecte in concreto sa situation personnelle (ATF 138 II 229 consid. 3; ATF 137 II 345 consid. 3.2.1). L'art. 50 al. 2 LEtr – repris à l'art. 77 al. 2 OASA – précise que les raisons personnelles majeures visées à l'al. 1 let. b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136 II 1 consid. 5.3); elle peut être de nature tant physique que psychique (TF 2C_155/2011 du 7 juillet 2011 consid. 4.3). L'étranger est soumis à un devoir de collaboration étendu dans l'établissement des faits en lien avec sa vie personnelle, en l'espèce de la violence conjugale et de son intensité; il doit fournir des indices tels que certificats médicaux, expertises psychiatriques, rapports de police, jugements pénaux (cf. art. 77 al. 6 OASA), rapports et appréciation d'organismes spécialisés ou encore déclarations crédibles de témoins. Il ne peut pas se contenter de simples allégations ou du renvoi à des tensions ponctuelles (TF 2C_196/2014 du 19 mai 2014 consid. 3.2; 2C_784/2013 du 11 février 2014 consid. 4.1). En ce qui concerne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2C_759/2010 du 28 janvier 2011 consid. 5.2.1; TF 2C_594/2010 du 24 novembre 2010 consid. 3.2).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(TF 2C_1000/2012 du 21 février 2013 consid. 5.2.1). A titre d'exemple, dans une affaire dans laquelle c'était en raison de son mariage avec une ressortissante suisse qu'un congolais avait quitté son pays en vue de rejoindre son épouse en Suisse et dans laquelle le recourant exposait avoir quitté la position sensible qu'il avait jusqu'alors occupée dans un organisme proche du parti présidentiel congolais, fait dont était susceptible de découler un risque pour son intégrité de l'intéressé en cas de retour dans son pays d'origine, le Tribunal fédéral a considéré que les obstacles à son renvoi de Suisse que faisait valoir le recourant trouvaient leur origine dans son mariage avec une ressortissante suisse, si bien que l'on était en présence de circonstances qui, exceptionnellement, commandaient aux autorités cantonales de prendre en considération les éventuels obstacles au renvoi déjà au stade de l'art. 50 al. 1 let. b et al. 2 LEtr (TF 2C_1062/2013 du 28 mars 2014 consid. 3.2.3). b) En l'espèce, le recourant soutient avoir été victime de violences conjugales. Il n'apporte toutefois aucune preuve de cette affirmation, à l'exception des photographies d’objets cassés, de courriers étalé sur le sol et de marques sur son crâne. On ne saurait, sur la base de ces seuls éléments et en l'absence notamment de tout certificat médical, retenir que la violence conjugale alléguée a atteint l'intensité requise pour que l'on soit en présence de raisons personnelles majeures permettant d'octroyer une autorisation à titre exceptionnel sur la base de l'art. 50 al. 1 let. b et al. 2 LEtr. L e recourant fait en outre valoir que sa réintégration dans son pays d'origine serait fortement compromise, en raison de la longue durée de son séjour et de son intégration réussie. Agé de 39 ans, il a vécu les 32 premières années de son existence en Côte d’Ivoire. Il y a ainsi passé son enfance, son adolescence et le début de sa vie d'adulte, années qui apparaissent comme essentielles pour la formation de la personnalité et, partant, pour l'intégration sociale et culturelle (cf. en particulier arrêt du TF 2C_1188/2012 du 17 avril 2013 consid. 4.2). Ses racines socio-culturelles se trouvent dès lors dans ce pays où il a certainement conservé un cercle de connaissances susceptibles de favoriser son retour. Son séjour de sept ans en Suisse, qui n'est certes pas négligeable, n'a pas pu lui faire perdre tous ses repères en Côte d’Ivoire où vit encore sa mère. S’agissant de son fils, alors qu'il avait déclaré à la police qu’il vivait en Côte d’Ivoire, il expose désormais que l'enfant vivrait en France auprès de la sœur de son ex-épouse, et qu’il se chargerait de son entretien. Néanmoins, un tel fait, au demeurant non prouvé, n'est pas à même de constituer une circonstance personnelle grave au sens de l’art. 50 al. 1 let. b LEtr. Quant à son intégration, elle ne sort pas de l'ordinaire. Certes, le recourant parle le français, a un emploi stable et n'a jamais fait l'objet de condamnation pénale. Ces éléments ne sont toutefois pas si exceptionnels qu'ils feraient apparaître disproportionné son retour en Côte d’Ivoire (TF 2C_68/2013 du 25 mars 2013 consid. 2.3). Au regard de ces éléments, il n'apparaît pas que la réintégration du recourant dans son pays d'origine serait fortement compromise. Le recourant ne peut dès lors pas se prévaloir non plus de l'application de l'art. 50 al. 1 let. b LEtr pour s'opposer à son renvoi.</w:t>
      </w:r>
    </w:p>
    <w:p>
      <w:r>
        <w:rPr>
          <w:b/>
        </w:rPr>
        <w:t>E. 5</w:t>
      </w:r>
    </w:p>
    <w:p>
      <w:r>
        <w:t>a) Aux termes de l'art. 30 al. 1 let. b LEtr, il est possible de déroger aux conditions d’admission (art. 18 à 29 LEtr) notamment afin de tenir compte des cas individuels d'une extrême gravité ou d'intérêts publics majeurs (let. b). L'art. 31 al. 1 OASA précise qu'il convient de tenir compte lors de l'appréciation du cas d'extrême gravité,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30 al. 1 let. b LEtr reprend les principes de l'art. 13 let. f de l'ancienne ordonnance fédérale du 6 octobre 1986 limitant le nombre des étrangers (OLE; RO 1986 1791 et les modifications subséquentes) abrogée le 1 er janvier 2008. On peut dès lors se référer à la jurisprudence y relative (Message du Conseil fédéral, FF 2002 III 3469, spéc. p. 3542; ég. arrêt 8C_724/2009 du 11 juin 2010 consid. 5.3.1 et les références citées).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b) En l’occurrence, le recourant est encore jeune et en bonne santé. Il conserve des liens étroits avec son pays natal, dans lequel vit sa mère, et où, comme déjà mentionné, il a vécu les 32 premières années de sa vie. Il n'a pas d'enfant en Suisse et ne soutient pas entretenir des liens particulièrement étroits avec un membre de sa famille dans notre pays. Il ne fait pas non plus valoir d’éventuels risques concrets pour sa personne en rapport avec la situation politique en Côte d’Ivoire et i l n'y a, sur la base des éléments du dossier, aucune raison de penser qu’il serait personnellement menacé en cas de renvoi dans son pays d'origine. Il ne se trouve ainsi pas dans un cas individuel d’extrême gravité, qui imposerait la poursuite de son séjour en Suisse au sens des art. 30 al. 1 let. b LEtr et 31 OASA. 7.                Il résulte des considérants qui précèdent que, mal fondé, le recours doit être rejeté et la décision attaquée maintenue. Les frais, arrêtés à 500 fr. (art. 4 al. 1 du tarif du 28 avril 2015 des frais judiciaires et des dépens en matière administrative – TFJDA; RSV 173.36.5.1), sont mis à la charge du recourant qui, succombant,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