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PE.2015.0118 vom 30. Juli 2015</w:t>
      </w:r>
    </w:p>
    <w:p>
      <w:r>
        <w:t>VD Tribunal cantonal, 2015-07-30, FR</w:t>
      </w:r>
    </w:p>
    <w:p>
      <w:r>
        <w:rPr>
          <w:b/>
        </w:rPr>
        <w:t xml:space="preserve">Quelle: </w:t>
      </w:r>
      <w:r>
        <w:t>https://mcp.opencaselaw.ch/entscheid/vd_omni_PE.2015.0118</w:t>
      </w:r>
    </w:p>
    <w:p>
      <w:r>
        <w:t>FR: VD_OMNI PE.2015.0118 du 30 juillet 2015</w:t>
      </w:r>
    </w:p>
    <w:p>
      <w:r>
        <w:t>IT: VD_OMNI PE.2015.0118 del 30 luglio 2015</w:t>
      </w:r>
    </w:p>
    <w:p>
      <w:pPr>
        <w:pStyle w:val="Heading2"/>
      </w:pPr>
      <w:r>
        <w:t>Regeste</w:t>
      </w:r>
    </w:p>
    <w:p>
      <w:r>
        <w:t>X.________ Sàrl/Service de la population (SPOP), Service de l'emploi Contrôle du marché du travail et | Confirmation du refus d'octroyer une autorisation de travail à une ressortissante roumaine pour un poste de secrétaire-réceptionniste dans une entreprise générale de la construction, parlant à la fois le roumain et le serbo-croate. Le poste a en réalité été taillé sur mesure pour l'intéressée, qui arrivait au terme de sa formation dans l’horlogerie et dont l'engagement résulte d’une pure convenance personnelle de l’employeur. L'autorité n'a donc pas violé la liberté économique de l'entreprise en refusant de délivrer le permis requis.</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A titre préliminaire, on rappelle que seuls les ressortissants des Etats tiers, avec lesquels la Suisse n’est liée par aucune convention, ayant droit au regroupement familial, peuvent invoquer le droit constitutionnel à l’exercice d’une activité lucrative (ATF 123 I 212 consid. 2c p. 216). 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II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période transitoire, durant laquelle des contingents et des prescriptions relatives au marché du travail peuvent être appliqués (art. 10 § 1b et 2b), initialement prévue jusqu'au 31 mai 2011, a été prolongée jusqu'au 31 mai 2014 (cf. notification du 27 mai 2011 de la Suisse au Comité mixte Suisse - UE, institué par l'ALCP; RO 2011 4127). La période transitoire pourra, le cas échéant être prolongée jusqu'au 31 mai 2016 (art. 10 § 4c al. 2 ALCP); elle l’a du reste été par notification de la Suisse du 28 mai 2014 (RO 2014 1893). Quant à la clause de sauvegarde spéciale de l'art. 10 § 4, ALCP, elle pourra être activée à l'égard des ressortissants roumains et bulgares jusqu'à 10 ans après l'entrée en vigueur du protocole II, soit jusqu'au 31 mai 2019. La Suisse a fait usage de cette possibilité à l’art. 38 al. 4 de l’ordonnance fédérale sur l’introduction de la libre circulation des personnes (OLCP; RS 142.203). Cette disposition, tenant compte des possibilités de prolongation ménagées par les alinéas 2b, deuxième paragraphe, et 4b, deuxième paragraphe, de l’art. 10 ALCP, prévoit que les dispositions transitoires mentionnées ci-dessus s’appliquent au plus durant les sept premières années suivant l’entrée en vigueur du Protocole du 27 mai 2008. b) Il suit de ce qui précède que C.-D. E.________, de nationalité roumaine, ne peut se prévaloir des dispositions de l’ALCP. Le sort de sa demande de permis dépend ainsi uniquement du contenu du droit interne.</w:t>
      </w:r>
    </w:p>
    <w:p>
      <w:r>
        <w:rPr>
          <w:b/>
        </w:rPr>
        <w:t>E. 2.1</w:t>
      </w:r>
    </w:p>
    <w:p>
      <w:r>
        <w:t>p. 9; ATF 130 V 177 consid. 5.4.1 p. 183; arrêt 2C_402/2013 du 20 août 2013 consid. 4.5). On relève cependant que la recourante a elle-même fait fi des règles applicables et s’est affranchie de la procédure applicable en la matière, puisqu’elle a, d’emblée, engagé C.-D. E.________ avant d'entreprendre les démarches nécessaires. Du reste, c’est postérieurement à son engagement que cette dernière a adressé à la recourante sa lettre de motivation et son dossier complet. En réalité, l’intention manifeste de la recourante était d’engager C.-D. E.________, et elle seule. Cela ressort également du fait qu'elle a requis l’octroi d’une autorisation de travail en faveur de cette dernière, sans avoir au préalable démontré qu’aucun travailleur en Suisse, ni aucun ressortissant de l’UE/AELE, Roumanie, Bulgarie et Croatie exceptées, correspondant au profil requis n’avait été trouvé. b) C’est seulement après avoir été invitée par l’autorité intimée à démontrer ce qui précède que la recourante a entrepris des recherches de candidats susceptibles de répondre aux exigences du poste. Elle s’est alors tournée vers l’ORP et a fait publier une annonce dans la presse. La recourante a reçu, pour cette seule annonce, cinquante-sept candidatures qu’elle a toutes écartées, au motif qu’elles n’émanaient pas d’une personne de sexe féminin, d’une part, ou ne parlant pas le roumain et le serbo-croate, d’autre part. Elle reproche dès lors à l’autorité intimée d’avoir porté atteinte à sa liberté économique en refusant de délivrer le permis requis. Bien que celle-ci soit protégée par les art. 27 al. 1, 94 al. 1 Cst. et 26 al. 1 de la Constitution du canton de Vaud, du 14 avril 2003 (Cst./VD; RSV 101.01), les restrictions à la liberté économique reposant sur des mesures de police, des mesures de politique sociale ou des mesures dictées par la réalisation d'autres intérêts publics sont autorisées (ATF 136 I 197 consid. 4.4.1 p. 204; 131 I 223 consid. 4.2 p. 231; 125 I 322 consid. 3a p. 326, 335 consid. 2a p. 337, et les arrêts cités). Or il s’avère que les règles prescrites à l’art. 21 LEtr, précisément édictées dans des buts de politique migratoire et économique, n’ont pas été respectées en l’occurrence. En effet, la recourante s’est limitée au marché local et par surcroît, s’est contentée de la parution d’une seule annonce. Il serait fort étonnant de constater que le recrutement d’une secrétaire-réceptionniste parlant à la fois le roumain et le serbo-croate soit impossible sur le marché indigène ou européen, comme la recourante paraît le soutenir. Ces éléments démontrent plutôt que, bien davantage que les explications laborieuses de la recourante, il appert que le poste était en réalité taillé sur mesure pour C.-D. E.________ et que l’engagement de cette dernière, qui arrivait au terme de sa formation dans l’horlogerie, résulte d’une pure convenance personnelle de l’employeur. c) Quoi qu’il en soit, à supposer qu’il faille tenir pour suffisantes et adéquates les vaines recherches effectuées par la recourante, il n’est pas certain que l’on puisse considérer pour autant C.-D. E.________ comme un travailleur qualifié au sens où l’entend l’art. 23 al. 1 LEtr. Un poste de secrétaire-réceptionniste dans une entreprise de construction ne requiert en effet nullement des connaissances ou des capacités professionnelles particulières. Dans ces conditions, c’est bien à tort que la recourante reproche à l’autorité intimée, dont la décision doit être confirmée, un formalisme excessif et une violation du principe de la proportionnalité, ainsi que de sa liberté économique.</w:t>
      </w:r>
    </w:p>
    <w:p>
      <w:r>
        <w:rPr>
          <w:b/>
        </w:rPr>
        <w:t>E. 3</w:t>
      </w:r>
    </w:p>
    <w:p>
      <w:r>
        <w:t>Lorsqu'un étranger ne possède pas de droit à l'exercice d'une activité lucrative, une décision cantonale préalable concernant le marché du travail est nécessaire pour l'admettre en vue de l'exercice d'une telle activité (art. 40 al. 2 LEtr).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LEmp) - décide si l'activité d'un étranger est considérée comme une activité lucrative au sens de l'art. 11 al. 2 LEtr et, en cas de doute, il soumet le cas, pour décision, à l'Office fédéral des migrations (ODM; cf. art. 4 OASA).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 I. Domaine des étrangers " de l’ODM prévoient en particulier ce qui suit (octobre 2013, version actualisée au 1 er juillet 2015):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dès le 1 er janvier 2008. c)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ATF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d)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 la directive de l’ODM précitée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w:t>
      </w:r>
    </w:p>
    <w:p>
      <w:r>
        <w:rPr>
          <w:b/>
        </w:rPr>
        <w:t>E. 4</w:t>
      </w:r>
    </w:p>
    <w:p>
      <w:r>
        <w:t>A la lumière des considérations qui précèdent, plusieurs constatations peuvent être faites dans le cas d’espèce. a) Selon ses explications, la recourante a développé une activité d’importation de matériaux de construction depuis la Roumanie et la Bosnie-Herzégovine. Elle explique avoir trouvé une candidate au poste de secrétaire-réceptionniste correspondant en tous points à ses exigences et qui, par surcroît, vivait déjà à 1******** et suivait une formation dans la région, pour laquelle une autorisation de séjour de courte durée lui avait été délivrée. Aussi reproche-t-elle à l’autorité intimée d’avoir refusé de délivrer un permis de travail en faveur de C.-D. E.________, bien que cette dernière ait l’avantage de maîtriser à la fois le roumain, sa langue maternelle, le serbo-croate, langue parlée en Bosnie-Herzégovine, et le français. La recourante se plaint sans doute d’un formalisme excessif de la part de l’autorité intimée. On rappelle sans insister que le formalisme excessif est un aspect particulier du déni de justice prohibé par l'art. 29 al. 1 de la Constitution fédérale du 18 avril 1999 (Cst.;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135 I 6 consid.</w:t>
      </w:r>
    </w:p>
    <w:p>
      <w:r>
        <w:rPr>
          <w:b/>
        </w:rPr>
        <w:t>E. 5</w:t>
      </w:r>
    </w:p>
    <w:p>
      <w:r>
        <w:t>Il résulte de ce qui précède que le recours doit être rejeté et la décision attaquée, confirmée. Vu l’issue du recours, un émolument judiciaire sera mis à la charge de la recourante, qui succombe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