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PE.2015.0117 vom 24. Dezember 2015</w:t>
      </w:r>
    </w:p>
    <w:p>
      <w:r>
        <w:t>VD Tribunal cantonal, 2015-12-24, FR</w:t>
      </w:r>
    </w:p>
    <w:p>
      <w:r>
        <w:rPr>
          <w:b/>
        </w:rPr>
        <w:t xml:space="preserve">Quelle: </w:t>
      </w:r>
      <w:r>
        <w:t>https://mcp.opencaselaw.ch/entscheid/vd_omni_PE.2015.0117</w:t>
      </w:r>
    </w:p>
    <w:p>
      <w:r>
        <w:t>FR: VD_OMNI PE.2015.0117 du 24 décembre 2015</w:t>
      </w:r>
    </w:p>
    <w:p>
      <w:r>
        <w:t>IT: VD_OMNI PE.2015.0117 del 24 dicembre 2015</w:t>
      </w:r>
    </w:p>
    <w:p>
      <w:pPr>
        <w:pStyle w:val="Heading2"/>
      </w:pPr>
      <w:r>
        <w:t>Regeste</w:t>
      </w:r>
    </w:p>
    <w:p>
      <w:r>
        <w:t>A.X.Y.________/Service de la population (SPOP) | Ressortissante camerounaise mise au bénéfice d'une autorisation de séjour à la suite de son mariage avec un citoyen suisse. Séparation après moins de 3 ans de vie commune. Refus de prolonger l'autorisation de séjour de l'intéressée confirmé. Absence de raisons personnelles majeures: les propositions sexuelles dégradantes que son mari lui aurait faites, à supposer établies, ne sauraient en effet revêtir la gravité nécessaire à la mise en oeuvre de l'art. 50 al. 1 let. b LEtr; par ailleurs, aucun élément n'indique que sa réintégration au Cameroun serait fortement compromise.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titre de mesures d'instruction, la recourante requiert la fixation d'une audience et l'audition de sa fille en qualité de témoin.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 ATF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134 I 140 consid. 5.2 p. 147 s.; 130 II 425 consid. 2.1 p. 429). b) En l'espèce, la cour s'estime suffisamment renseignée sur la base des pièces du dossier pour statuer en toute connaissance de cause, ainsi que cela ressort aussi des motifs exposés ci-après auxquels il est renvoyé, de sorte qu'il n'apparaît pas nécessaire d'ordonner les mesures d'instruction sollicitées.</w:t>
      </w:r>
    </w:p>
    <w:p>
      <w:r>
        <w:rPr>
          <w:b/>
        </w:rPr>
        <w:t>E. 3</w:t>
      </w:r>
    </w:p>
    <w:p>
      <w:r>
        <w:t>p. 232 ss). Quant à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138 II 393 consid.</w:t>
      </w:r>
    </w:p>
    <w:p>
      <w:r>
        <w:rPr>
          <w:b/>
        </w:rPr>
        <w:t>E. 3.1</w:t>
      </w:r>
    </w:p>
    <w:p>
      <w:r>
        <w:t>p. 394 s.; 137 II 345 consid. 3.2.2 p. 349). b) En l'espèce, la recourante affirme dans ses écritures avoir été victime de violences conjugales. Elle expose que son mari lui aurait en effet proposé des pratiques sexuelles dégradantes, notamment l'ondinisme. Elle relève que pour se préserver, elle n'a dès lors pas eu d'autre choix que de mettre fin à la vie commune. Il ressort toutefois des pièces du dossier que ce n'est pas la recourante qui a requis des mesures protectrices de l'union conjugale, mais son mari. En outre, elle n'a quitté le domicile conjugal qu'en octobre 2013, alors qu'elle s'était engagée à déménager au plus tard à fin juin 2013. De plus, lors de son audition le 27 janvier 2014 par la police, elle n'a à aucun moment fait mention des propositions sexuelles indécentes que lui aurait faites son mari. Elle a simplement parlé du désir de ce dernier de rencontrer d'autres femmes et du fait qu'il quittait régulièrement le domicile conjugal pendant quatre ou cinq jours pour apparemment assouvir ses besoins. Elle a déclaré que malgré tout, elle ne voulait pas divorcer et qu'elle espérait reprendre la vie commune, précisant que son mari dormait de temps à autre chez elle. Dans ces conditions et quoi qu'en dise la recourante dans ses écritures, les propositions sexuelles que lui aurait faites son mari, à supposer établies, ne sauraient revêtir la gravité nécessaire à la mise en œuvre de l'art. 50 al. 1 let. b LEtr. Quant aux relations extra-conjugales que son mari aurait entretenues, elles ne sont pas non plus suffisantes pour admettre l'existence de raisons personnelles majeures au sens de l'art. 50 al. 1 let. b LEtr (TF 2C_289/2012 du 12 juillet 2012 et 2C_475/2010 du 29 octobre 2010). En outre, contrairement à ce que soutient la recourante, aucun élément n'indique que sa réintégration au Cameroun serait fortement compromise. En effet, la recourante a passé dans ce pays son enfance, son adolescence et les premières années de sa vie adulte, années qui apparaissent comme essentielles pour la formation de la personnalité et, partant, pour l'intégration sociale et culturelle. Ces circonstances permettent en outre de penser qu'elle y possède, hormis sa mère (et apparemment un petit-fils), encore un cercle de connaissances et de proches susceptibles de favoriser son retour (notamment, TF 2C_1188/2012 du 17 avril 2013 consid. 4.2). Elle y a du reste célébré son mariage en 2011. Quant à son intégration, elle ne sort pas de l'ordinaire. Certes, elle a désormais un emploi fixe, après avoir émargé quelques mois à l'aide sociale après sa séparation, a un cercle d'amis en Suisse et n'a fait l'objet d'aucune condamnation pénale. Ces éléments ne sont toutefois pas si exceptionnels qu'ils feraient apparaître disproportionné son retour au Cameroun. Enfin, le fait que la fille majeure de la recourante et sa petite-fille habitent en France voisine n'est pas déterminant. La recourante ne peut dès lors pas se prévaloir de l'application de l'art. 50 al. 1 let. b LEtr pour s'opposer à son renvoi.</w:t>
      </w:r>
    </w:p>
    <w:p>
      <w:r>
        <w:rPr>
          <w:b/>
        </w:rPr>
        <w:t>E. 4</w:t>
      </w:r>
    </w:p>
    <w:p>
      <w:r>
        <w:t>La recourante invoque à titre subsidiaire l'art. 30 al. 1 let. b LEtr. Elle soutient qu'elle serait placée dans une situation d'extrême gravité en cas de renvoi dans son pays d'origine. L’art. 30 al. 1 let. b LEtr dispose qu’il est possible de déroger aux conditions d’admission (art. 18 à 29 LEtr) dans le but de tenir compte d’un cas individuel d’une extrême gravité. L'art. 31 al. 1 er OASA précise que ces cas doivent être appréciés en tenant compte notamment de l'intégration du requérant (let. a), du respect de l'ordre juridique suisse par celui-ci (let. b), de sa situation financière ainsi que de sa volonté de prendre part à la vie économique et d'acquérir une formation (let. d), de la durée de sa présence en Suisse (let. e), de son état de santé (let. f) et de ses possibilités de réintégration dans l'Etat de provenance (let. g). Malgré le sous-titre de l'art. 31 OASA, il n'est pas certain que les raisons personnelles majeures de l'art. 50 LEtr se recoupent toujours avec les cas d'extrême gravité au sens des art. 30 al. 1 let. b LEtr et 31 OASA. Il est cependant probable qu'un étranger, s'il n'a pas trois ans d'union conjugale et qu'il ne peut pas non plus invoquer des raisons personnelles majeures ne remplit en tous les cas pas les conditions pour la reconnaissance d'un cas d'extrême gravité (arrêts PE.2010.0287 du 3 février 2011 consid. 4; PE.2009.0500 du 25 février 2010 consid 3; PE.2009.0340 du 5 novembre 2009 consid. 3). Quoi qu'il en soit, les mêmes considérations qui ont conduit le tribunal à nier l'existence de raisons personnelles majeures (voir supra consid. 3) permettent d'exclure que la situation de la recourante constitue un cas personnel d'extrême gravité.</w:t>
      </w:r>
    </w:p>
    <w:p>
      <w:r>
        <w:rPr>
          <w:b/>
        </w:rPr>
        <w:t>E. 5</w:t>
      </w:r>
    </w:p>
    <w:p>
      <w:r>
        <w:t>Les considérants qui précèdent conduisent au rejet du recours et à la confirmation de la décision attaquée. a) Compte tenu de ses ressources, la recourante a été mise au bénéfice de l'assistance judiciaire par décision du 9 avril 2015.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François Gillard peut être arrêtée, compte tenu de la liste des opérations et des débours produite, à un montant total de 1'551 fr. 20, TVA et débours compris, correspondant à 1'395 fr. d'honoraires, 41 fr. 30 fr. de débours et 114 fr. 90 de TVA. b) Les frais de justice, arrêtés à 600 fr. (art. 4 du Tarif des frais judiciaires et des dépens en matière administrative du 28 avril 2015 – TFJDA; RSV 173.36.5.1), devraient en principe être supportés par la recourante, qui succombe (art. 49 LPA-VD). Toutefois, dès lors que cette dernière a été mise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du code de procédure civile du 19 décembre 2008 – CPC; RS 272 – , applicable par renvoi de l'art. 18 al. 5 LPA-VD), la recourante étant rendu attentive au fait qu'elle est tenue de rembourser les montants ainsi avancés dès qu'elle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