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PE.2015.0098 vom 24. August 2015</w:t>
      </w:r>
    </w:p>
    <w:p>
      <w:r>
        <w:t>VD Tribunal cantonal, 2015-08-24, FR</w:t>
      </w:r>
    </w:p>
    <w:p>
      <w:r>
        <w:rPr>
          <w:b/>
        </w:rPr>
        <w:t xml:space="preserve">Quelle: </w:t>
      </w:r>
      <w:r>
        <w:t>https://mcp.opencaselaw.ch/entscheid/vd_omni_PE.2015.0098</w:t>
      </w:r>
    </w:p>
    <w:p>
      <w:r>
        <w:t>FR: VD_OMNI PE.2015.0098 du 24 août 2015</w:t>
      </w:r>
    </w:p>
    <w:p>
      <w:r>
        <w:t>IT: VD_OMNI PE.2015.0098 del 24 agosto 2015</w:t>
      </w:r>
    </w:p>
    <w:p>
      <w:pPr>
        <w:pStyle w:val="Heading2"/>
      </w:pPr>
      <w:r>
        <w:t>Regeste</w:t>
      </w:r>
    </w:p>
    <w:p>
      <w:r>
        <w:t>X.________, Y.________/Service de la population (SPOP) | Confirmation du refus d'autorisation de séjour pour regroupement familial signifié à un ressortissant marocain, qui entend rejoindre son épouse titulaire d'une autorisation d'établissement. En l'état, l'épouse est dépendante de l'aide sociale. De plus, il n'est pas possible de tenir compte des éventuels revenus futurs de l'époux, car celui-ci n'a produit aucun contrat de travail ni promesse d'embauche et n'a même pas exposé avoir effectué des recherches d'emploi en Suisse. Recours au Tribunal fédéral rejeté dans la mesure où il est recevable (2C_854/2015 du 2 mars 2015).</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décembre 2003 sur l'action sociale [LASV; RSV 850.051]). Il résulte de ce barème, annexé au règlement (cf. art. 22 al. 1 RLASV), que le forfait pour l'entretien et l'intégration sociale s'élève, pour un ménage de quatre personnes tel que celui des recourants, au maximum à 2'375 fr. b) En l'occurrence, la recourante dépend de l'assistance publique depuis 2003 jusqu'à ce jour, période entrecoupée de brèves phases d'indépendance financière, pour un montant accumulé de 230'205 fr. 40 au 16 juin 2014. Depuis le mois de décembre 2014, la recourante exerce la profession d'aide-infirmière à un taux de 50% pour un revenu mensuel moyen net de 1'670 fr. Par ailleurs, elle suit une formation d'auxiliaire de santé qui se terminera en septembre 2015, ce qui devrait lui permettre de pérenniser sa relation de travail qui est actuellement limitée dans le temps. Elle vit avec deux de ses enfants mineurs dans un appartement de 4.5 pièces à 1********. Quant à son époux, il est titulaire d'un diplôme marocain de coiffeur. Au vu de ces seuls éléments, il ne fait aucun doute qu'en l'état, la recourante dépend et dépendra lors de l'arrivée en Suisse du recourant de l'assistance publique. Il convient maintenant d'examiner si cette dépendance doit être qualifiée de durable. Si la recourante semble avoir des perspectives professionnelles favorables au vu de son activité actuelle, des possibilités d'augmentation de son taux d'activité et de la formation suivie, il n'en demeure pas moins que le revenu qu'elle réalisera se situera vraisemblablement en deçà des normes précitées (salaire brut à 100% de 3'748 fr., dont il faut déduire les charges sociales, le forfait de 2'375 fr. ainsi que le loyer de 1'570 fr. et les primes d'assurance maladie). Quant au revenu que le recourant pourrait apporter au foyer, il n'est, en l'état, pas possible d'en tenir compte puisque le recourant n'a produit aucun contrat de travail ni promesse d'embauche et n'a même pas exposé avoir effectué des recherches d'emploi en Suisse (cf. PE.2015.0039 du 2 avril 2015 consid. 2b; PE.2014.0298 du 27 février 2015 consid. 2c; a contrario PE.2014.0163 du 30 octobre 2014 consid. 4). Ainsi, il est probable que la venue du recourant en Suisse maintiendra la famille dans la dépendance de l'assistance publique et cela, selon toute vraisemblance, pour une période relativement longue. Dans ces conditions, il ne saurait être reproché au SPOP d'avoir considéré que le risque que les recourants dépendent durablement de l'aide sociale demeurait concret, du moins en l'état. Les conditions prévues par l'art. 51 al. 2 LEtr étant réalisées, les droits du recourant à pouvoir vivre auprès de son épouse sont éteints. Il convient encore de déterminer s'il pourrait se prévaloir de la protection de sa vie privée et familiale. c) L'art. 8 CEDH garantit le droit au respect de la vie privée et familiale. Il n'est toutefois pas absolu. Une ingérence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L'application de l'art. 8 par. 2 CEDH implique sur ce point une pesée des intérêts en présence et le respect du principe de proportionnalité (ATF 137 I 284 consid. 2.1; 135 II 377 consid. 4.3).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par. 2 CEDH (ATF 135 I 153 consid. 2.2.1; v. aussi ATF 2C_212/2010 du 4 octobre 2010 consid. 4.1.2). En l'espèce, il sied de prime abord de constater qu'on ne peut exiger de la recourante, titulaire d'une autorisation d'établissement, qu'elle parte vivre au Maroc avec ses deux enfants adolescents en pleine formation. Dès lors, il convient de mettre en balance l'intérêt du recourant à pouvoir vivre auprès son épouse et celui de la collectivité publique à éviter que des prestations d'aide sociale encore plus importantes soient versées suite à l'arrivée de ce dernier en Suisse. Pour les motifs déjà exposés, on ne tient pas compte en l'état des éventuels revenus futurs du recourant (cf consid. 2b). Par ailleurs, les recourants n'ont pas d'enfant en commun, qui constituerait un facteur important dans la pesée des intérêts en présence. L'intérêt public doit dès lors être considéré comme prépondérant. d) Dans ces conditions, l'autorité intimée n'a pas violé le droit, ni abusé de son pouvoir d'appréciation en refusant au recourant la délivrance d'une autorisation de séjour pour regroupement familial. Pour le surplus, l'attention des recourants est attirée sur le fait qu'il leur est possible de déposer une nouvelle demande de regroupement familial une fois leurs perspectives financières améliorées.</w:t>
      </w:r>
    </w:p>
    <w:p>
      <w:r>
        <w:rPr>
          <w:b/>
        </w:rPr>
        <w:t>E. 3</w:t>
      </w:r>
    </w:p>
    <w:p>
      <w:r>
        <w:t>Les motifs qui précèdent conduisent au rejet du recours et à la confirmation de la décision attaquée. Au vu des circonstances, il est renoncé à percevoir un émolument judiciaire. Il n'y a pas lieu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