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PE.2015.0096 vom 30. Juli 2015</w:t>
      </w:r>
    </w:p>
    <w:p>
      <w:r>
        <w:t>VD Tribunal cantonal, 2015-07-30, FR</w:t>
      </w:r>
    </w:p>
    <w:p>
      <w:r>
        <w:rPr>
          <w:b/>
        </w:rPr>
        <w:t xml:space="preserve">Quelle: </w:t>
      </w:r>
      <w:r>
        <w:t>https://mcp.opencaselaw.ch/entscheid/vd_omni_PE.2015.0096</w:t>
      </w:r>
    </w:p>
    <w:p>
      <w:r>
        <w:t>FR: VD_OMNI PE.2015.0096 du 30 juillet 2015</w:t>
      </w:r>
    </w:p>
    <w:p>
      <w:r>
        <w:t>IT: VD_OMNI PE.2015.0096 del 30 luglio 2015</w:t>
      </w:r>
    </w:p>
    <w:p>
      <w:pPr>
        <w:pStyle w:val="Heading2"/>
      </w:pPr>
      <w:r>
        <w:t>Regeste</w:t>
      </w:r>
    </w:p>
    <w:p>
      <w:r>
        <w:t>A. X.________, B. Y.________, C. Y.________, D. Y.________/Service de la population (SPOP) | Confirmation de la décision du SPOP qui refuse un permis de séjour à un couple originaire du Kosovo et leurs deux enfants et prononce leur renvoi de Suisse. Contrairement à ce qu'allèguent les recourants, leur situation ne constitue pas un cas d'extrême gravité permettant de déroger aux conditions d'admission (art. 30 al. 1 let. b LEtr). En effet, ils ont toujours résidé illégalement en Suisse et leur intégration ne peut être qualifiée de particulièrement poussée. En outre, le fait que la vie au Kosovo soit plus "difficile" qu'en Suisse ne s'oppose pas au renvoi de la famille, pas plus que la présence de deux enfants, dès lors qu'ils sont en bas âge, non scolarisés, encore fortement liés à leurs parents et que leur retour ne saurait être assimilé à un déracinement.</w:t>
      </w:r>
    </w:p>
    <w:p>
      <w:pPr>
        <w:pStyle w:val="Heading2"/>
      </w:pPr>
      <w:r>
        <w:t>Erwägungen</w:t>
      </w:r>
    </w:p>
    <w:p>
      <w:r>
        <w:rPr>
          <w:b/>
        </w:rPr>
        <w:t>E. 1</w:t>
      </w:r>
    </w:p>
    <w:p>
      <w:r>
        <w:t>Interjeté dans le délai légal de trente jours de l'art. 95 de la loi vaudoise du 28 octobre 2008 sur la procédure administrative (LPA-VD; RSV 173.36 ),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Les recourants font uniquement v a loir que les conditions de l'autorisation prévue par l'art. 30 al. 1 let. b de la loi fédérale du 16 décembre 2005 sur les étrangers (LEtr; RS 142.20) seraient remplies, de sorte qu'une autorisation de séjour fondée sur un cas individuel d'extrême gravité devrait leur être octroyée.</w:t>
      </w:r>
    </w:p>
    <w:p>
      <w:r>
        <w:rPr>
          <w:b/>
        </w:rPr>
        <w:t>E. 3</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Selon l'art. 30 al. 1 let. b LEtr, il est possible de déroger aux conditions d’admission (art. 18 à 29) dans le but de tenir compte des cas individuels d’une extrême gravité. Cette disposition est concrétisée par l'art. 31 de l'ordonnance du 24 octobre 2007 relative à l’admission, au séjour et à l’exercice d’une activité lucrative (OASA; RS 142.201), dont l'al. 1 impose de tenir compte, lors de l'appréciation,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correspond en substance à l'art. 13 let. f de l'ancienne ordonnance fédérale du</w:t>
      </w:r>
    </w:p>
    <w:p>
      <w:r>
        <w:rPr>
          <w:b/>
        </w:rPr>
        <w:t>E. 6</w:t>
      </w:r>
    </w:p>
    <w:p>
      <w:r>
        <w:t>Au vu de ce qui précède, c'est à bon droit et sans abuser de son pouvoir d'appréciation que l'autorité intimée a refusé d'octroyer aux recourants une autorisation de séjour. En conséquence, le recours sera rejeté et la décision attaquée confirmée. Vu le sort du recours, un émolument judiciaire doit être mis à la charge des recourants, ceux-ci succombant (art. 48, 49 al. 1, 91 et 99 LPA-VD). Il n'y a, pour les mêmes raisons,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