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PE.2015.0069 vom 6. August 2015</w:t>
      </w:r>
    </w:p>
    <w:p>
      <w:r>
        <w:t>VD Tribunal cantonal, 2015-08-06, FR</w:t>
      </w:r>
    </w:p>
    <w:p>
      <w:r>
        <w:rPr>
          <w:b/>
        </w:rPr>
        <w:t xml:space="preserve">Quelle: </w:t>
      </w:r>
      <w:r>
        <w:t>https://mcp.opencaselaw.ch/entscheid/vd_omni_PE.2015.0069</w:t>
      </w:r>
    </w:p>
    <w:p>
      <w:r>
        <w:t>FR: VD_OMNI PE.2015.0069 du 6 août 2015</w:t>
      </w:r>
    </w:p>
    <w:p>
      <w:r>
        <w:t>IT: VD_OMNI PE.2015.0069 del 6 agosto 2015</w:t>
      </w:r>
    </w:p>
    <w:p>
      <w:pPr>
        <w:pStyle w:val="Heading2"/>
      </w:pPr>
      <w:r>
        <w:t>Regeste</w:t>
      </w:r>
    </w:p>
    <w:p>
      <w:r>
        <w:t>A., B.C.________/Service de l'emploi, Service de la population (SPOP) | Ne déploye pas d'efforts de recrutement suffisants sur le marché indigène du travail l'employeur qui, souhaitant engager une barmaid roumaine, ne prouve pas la date des démarches qu'il a effectuées en vue de recruter du personnel et ne contacte l'ORP qu'après avoir déposé la demande d'autorisation. Recours contre le refus d'autorisation rejeté.</w:t>
      </w:r>
    </w:p>
    <w:p>
      <w:pPr>
        <w:pStyle w:val="Heading2"/>
      </w:pPr>
      <w:r>
        <w:t>Erwägungen</w:t>
      </w:r>
    </w:p>
    <w:p>
      <w:r>
        <w:rPr>
          <w:b/>
        </w:rPr>
        <w:t>E. 1</w:t>
      </w:r>
    </w:p>
    <w:p>
      <w:r>
        <w:t>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L'employée que le recourant souhaite engager est roumaine. Elle tombe donc sous le coup du régime transitoire prévu par l'art. 10 par. 2b ALCP. Ce régime, qui lie la Suisse et, entre autres parties contractantes, la République de Roumanie (cf.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 à la suite de leur adhésion à l'Union européenne entré en vigueur par échanges de notes le 1 er juin 2009; PA 2 ALCP; RS 0.142.112.681.1), permet de maintenir à l'égard des ressortissants de l'autre partie contractante, les contrôles de la priorité du travailleur intégré dans le marché régulier du travail et des conditions de salaire et de travail. Prolongée une première fois jusqu'au 31 mai 2014, la période transitoire s'étend désormais jusqu'au 31 mai 2016 (RO 2014 1893; arrêt du TF 2C_375/2014 du 4 février 2015 consid. 1.1). L'art. 38 al. 4 de l'ordonnance sur l'introduction de la libre circulation des personnes (OLCP; RS 142.203), tenant compte des possibilités de prolongation ménagées par l'art. 10 ALCP, prévoit que les dispositions transitoires citées ci-dessus s'appliquent au plus durant les sept premières années suivant l'entrée en vigueur du Protocole du 27 mai 2008. b) S’agissant du contrôle de la priorité des travailleurs indigènes – en relation notamment avec l’art. 10 al. 2b ALCP –, le ch. 5.5.2 des directives émises par l'ancien Office fédéral des migrations (devenu le 1 er janvier 2015 le Secrétariat d'Etat aux migrations, ci-après: SEM) concernant l'introduction progressive de la libre circulation des personnes prévoit, dans sa version de juillet 2015,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[ndlr: la Bulgarie et la Roumanie ]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l’art. 21 de la loi fédérale du 16 décembre 2005 sur les étrangers (LEtr; RS 142.20), intitulé " Ordre de priorité ", est applicable, au moins par analogie, à l’admission en vue de l’exercice d’une activité lucrative en Suisse des ressortissants des nouveaux Etats membres de l’Union européenne (arrêt du TF 2C_434/2014 du 7 août 2014 consid. 2.2 et la réf. citée). Cette disposition est ainsi applicable au cas particulier, puisque l'employée dont l'engagement est souhaité par le recourant est de nationalité roumaine.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du SEM intitulées "Domaine des étrangers" prévoit, dans sa version d'octobre 2013 actualisée le 1 er juillet 2015,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CDAP PE.2014.0006 du 1 er juillet 2014 consid. 2b; PE.2013.0125 du 16 octobre 2013 consid. 3).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confirmé sur recours par le Tribunal fédéral dans l'arrêt 2C_217/2009 du 11 septembre 2009 consid. 3.2). Ont aussi été considérées comme insuffisantes des recherches par voie d'une ou deux annonces dans la presse, un ou deux ans avant le dépôt de la demande pour l'engagement d'un ressortissant bulgare. Dans ce  cas, aucune annonce n'avait été faite à l'ORP (PE.2009.0244 du 27 novembre 2009 consid. 2c). La cour de céans a aussi considéré que ne constituaient pas des recherches suffisantes sur le marché indigène la publication d'une annonce dans un hebdomadaire lausannois à trois reprises étalées sur trois mois avant d'engager une ressortissante roumaine, et l'annonce du poste auprès de l'ORP plus de deux mois après la conclusion du contrat de travail, respectivement un mois après le dépôt de la demande de permis de séjour (PE.2014.0191 du 15 septembre 2014). Dans l'arrêt PE.2014.0044 du 26 janvier 2015, la cour a également confirmé la décision du SDE refusant la demande de main d'œuvre étrangère en faveur d'une ressortissante roumaine engagée en qualité d'aide de cuisine aux motifs que l'employeur, même s'il prétendait avoir publié plusieurs annonces dans des commerces et restaurants de la région ainsi que sur un site internet, n'avait produit qu'une annonce publiée sur le site www.anibis.ch , quatre jours après la notification du refus de l’autorité intimée. Par ailleurs, parmi les 23 candidatures qui étaient parvenues à l'employeur suite à l’annonce effectuée auprès de l’ORP, il n’en avait retenu aucune, au motif que la seule personne qui s’était présentée ne répondait pas aux compétences requises. Or, il ressortait du dossier que le profil de ces 23 personnes était en adéquation avec le poste d’aide de cuisine proposé et que 19 d’entre elles disposaient d’une expérience au sein de restaurants vaudois (PE.2014.0044 du 26 janvier 2015). d) En l'espèce, le recourant allègue qu'il ignorait qu'il devait annoncer le poste vacant à l'ORP mais qu'il a procédé à des recherches par des "raisons secondaires" (ce par quoi il faut sans doute entendre par d'autres voies) et par des connaissances. Il a reçu des offres qui ne correspondaient pas à ses attentes, parce que les intéressés ne voulaient pas travailler le soir, les jours fériés ou le week-end et pensaient que l'on pouvait travailler dans un bar avec des horaires de bureau. Il a également fait des essais qui n'ont pas abouti. En revanche, D.-E. F.________ a paru être la personne parfaite pour le poste. Certes, le recourant a transmis au service intimé l'identité de huit personnes qui se sont présentées et a remis au tribunal quatre CV de candidats qui n'ont pas été retenus. La date de ces démarches étant inconnue, il n'est pas possible de vérifier si les efforts déployés par le recourant pour attribuer le poste à un travailleur du marché du travail indigène ont bien eu lieu pendant la période précédant immédiatement le dépôt de la demande d'autorisation. Pour le reste, le recourant ne fait état d'aucun justificatif de ses recherches. Il n'a publié qu'une seule annonce auprès de l'ORP. Cette annonce a paru après le dépôt de la demande d'autorisation, alors qu'il avait reçu une lettre de l'autorité intimée l'invitant à lui transmettre les preuves des recherches récentes préalablement effectuées en vue de trouver un employé sur le marché indigène du travail et de l'inscription du poste auprès de l'ORP. Elle est tardive. Manifestement, les efforts déployés par le recourant pour trouver un travailleur indigène capable d'occuper le poste de serveur ne correspondent pas aux exigences posées par la jurisprudence rappelée ci-dessus. Après l'inscription du poste dans le registre "PLASTA", l'ORP a effectué 20 assignations jusqu'au début du mois d'avril 2015. Le recourant en a refusé 13. Dans ses écritures, il reste vague au sujet des motifs qui l'ont amené à refuser les candidatures proposées, se bornant à expliquer que la majeure partie des candidats n'avaient pas envie de travailler. Le refus du recourant d'engager quelqu'un d'autre que D.-E. F.________ n'est en conséquence guère étayé et laisse plutôt à penser que c'est par convenance personnelle que cette dernière a été choisie. Dans ces conditions, au vu des exigences élevées posées par la jurisprudence en la matière, on ne saurait retenir que tous les efforts ont été déployés par le recourant en vue de trouver un travailleur sur le marché indigène. Partant, la décision refusant la demande d'autorisation est justifiée.</w:t>
      </w:r>
    </w:p>
    <w:p>
      <w:r>
        <w:rPr>
          <w:b/>
        </w:rPr>
        <w:t>E. 2</w:t>
      </w:r>
    </w:p>
    <w:p>
      <w:r>
        <w:t>Les considérants qui précèdent conduisent au rejet du recours et à la confirmation de la décision attaquée, aux frais du recourant qui succombe (art. 49 al. 1 de la loi sur la procédure administrative du 28 octobre 2008 [ LPA-VD; RSV 173.36 ] ). Il n'y a pas lieu d'allouer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