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PE.2015.0043 vom 3. August 2015</w:t>
      </w:r>
    </w:p>
    <w:p>
      <w:r>
        <w:t>VD Tribunal cantonal, 2015-08-03, FR</w:t>
      </w:r>
    </w:p>
    <w:p>
      <w:r>
        <w:rPr>
          <w:b/>
        </w:rPr>
        <w:t xml:space="preserve">Quelle: </w:t>
      </w:r>
      <w:r>
        <w:t>https://mcp.opencaselaw.ch/entscheid/vd_omni_PE.2015.0043</w:t>
      </w:r>
    </w:p>
    <w:p>
      <w:r>
        <w:t>FR: VD_OMNI PE.2015.0043 du 3 août 2015</w:t>
      </w:r>
    </w:p>
    <w:p>
      <w:r>
        <w:t>IT: VD_OMNI PE.2015.0043 del 3 agosto 2015</w:t>
      </w:r>
    </w:p>
    <w:p>
      <w:pPr>
        <w:pStyle w:val="Heading2"/>
      </w:pPr>
      <w:r>
        <w:t>Regeste</w:t>
      </w:r>
    </w:p>
    <w:p>
      <w:r>
        <w:t>X.________/Service de la population (SPOP) | Confirmation de la décision du SPOP, refusant au recourant, ressortissant espagnol, l'octroi d'une autorisation de séjour. L'activité du recourant, essentiellement sur appel et lui procurant un revenu mensuel de 800 fr., doit être considérée comme marginale et accessoire, de sorte que le recourant ne peut se prévaloir de la qualité de travailleur communautaire. Recours rejeté.</w:t>
      </w:r>
    </w:p>
    <w:p>
      <w:pPr>
        <w:pStyle w:val="Heading2"/>
      </w:pPr>
      <w:r>
        <w:t>Erwägungen</w:t>
      </w:r>
    </w:p>
    <w:p>
      <w:r>
        <w:rPr>
          <w:b/>
        </w:rPr>
        <w:t>E. 1</w:t>
      </w:r>
    </w:p>
    <w:p>
      <w:r>
        <w:t>a) Le recourant étant de nationalité espagnole, son droit à une autorisation de séjour en Suisse est réglementé par l'Accord du 21 juin 1999 entre, d'une part, la Confédération suisse, et, d'autre part, la Communauté européenne et ses Etats membres sur la libre circulation des personnes (ALCP; RS 0.142.112.681). La loi fédérale sur les étrangers du 16 décembre 2005 (LEtr; RS 142.20) n'est en effet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LEtr prévoit des dispositions plus favorables (art. 2 al. 2 LEtr). b) L'ALCP a pour objectif d'accorder en faveur des ressortissants des Etats membres, notamment un droit d'entrée, de séjour, d'accès à une activité économique salariée, sur le territoire des parties contractantes, selon l'art. 1 er let. a ALCP. L'art. 6 Annexe I ALCP précise: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Aux termes de l'art. 16 al. 2 ALCP, dans la mesure où l'application de l'ALCP implique des notions de droit communautaire, il sera tenu compte de la jurisprudence pertinente de la Cour de justice des Communautés européennes (CJCE), actuellement la Cour de justice de l'Union européenne (CJUE),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et les références citées, 65 consid. 3.1 p. 70; Florence Aubry Girardin, L'interprétation et l'Application de l'Accord sur la libre circulation des personnes du point de vue de la jurisprudence, in L'accord sur la libre circulation des personnes Suisse-UE, 2011, p. 43 ss).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 ATF 131 II 339 consid. 3.2 p. 345 et les références aux arrêts de la CJCE Kempf du 3 juin 1986, 139/85, Rec. 1986 p. 1741, point 13 et Levin du 23 mars 1982, 53/1981, Rec. 1982 p. 1035, point 13, voir aussi Conclusions de l'avocat général du 5 juillet 2007, C-291/05 , Rec. 2007 I-10719 point 73). Doit ainsi être considéré comme un " travailleur " la personne qui accomplit, pendant un certain temps, en faveur d'une autre personne et sous la direction de celle-ci, des prestations en contrepartie desquelles elle touche une rémunération (arrêts Brian Francis Collins du 23 mars 2004, C-138/02, Rec. 2004 p. I-2703 point 26 et Lawrie-Blum, du 3 juillet 1986, 66/85, Rec. 1986, p. 2121, points 16 et 17). Cela suppose l'exercice d'activités réelles et effectives, à l'exclusion d'activités tellement réduites qu'elles se présentent comme purement marginales et accessoires (arrêt Petersen du 28 février 2013, destiné à la publication, point 30; ATF 131 II 339 consid. 3.3; PE.2014.0063 du 13 mai 2014).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(ATF 131 II 339 consid. 3.3. et réf.).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(ATF 131 II 339, consid. 3.4 et les réf. citées; cf., pour les personnes à la recherche d'un emploi, ATF 130 II 388 ). Ainsi, le fait qu'un travailleur n'effectue qu'un nombre très réduit d'heures - dans le cadre, par exemple, d'une relation de travail fondée sur un contrat de travail sur appel - ou qu'il ne gagne que de faibles revenus, peut être un élément indiquant que l'activité exercée n'est q ue marginale et accessoire (ATF 131 II 339 consid. 3.4 citant notamment l' arrêt Raulin , C-357/89, Rec. 1992, p. I-1027, points 9 à 13, rendu par la CJCE ). c) Les d irectives et commentaires du Secrétariat d'Etat aux migrations (SEM) concernant l'introduction progressive de la libre circulation des personnes (Directives OLCP), prévoient à leur chapitre</w:t>
      </w:r>
    </w:p>
    <w:p>
      <w:r>
        <w:rPr>
          <w:b/>
        </w:rPr>
        <w:t>E. 4</w:t>
      </w:r>
    </w:p>
    <w:p>
      <w:r>
        <w:t>relatif aux conditions d'admission en vue de l'exercice d'une activité lucrative en Suisse, dans leur version d'avril 2015, ce qui suit: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les ch. II.5.2.4 et II.8.2), auquel cas l'autorisation peut ne pas être délivrée." Ces directives ne mentionnent plus que le temps de travail hebdomadaire doit s'élever à douze heures au moins (arrêt PE.2012.0158 du 11 octobre 2012 consid. 3b). d) Selon l’art. 2 par. 2 de l'annexe I ALCP, les ressortissants des parties contractantes n’exerçant pas d’activités économiques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figurant sous le chapitre V intitulé "Personnes n'exerçant pas une activité économique" , prévoit qu'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 financiers suffisants pour ne devoir faire appel à l'aide sociale pendant leur séjour (let. a) et d'une assurance-maladie couvrant l'ensemble des risques (let. b) .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 PE.2010.0280 du 16 novembre 2011 consid. 7a). Il importe peu, pour apprécier la situation économique du requérant, que ce dernier génère lui-même ses moyens financiers ou que ceux-ci soient procurés par un tiers (ATF 135 II 265 consid. 3.3 p. 269). Il appartient par contre au requérant de démontrer qu'il dispose de moyens d'existence suffisants (ATF 2C_624/2010 du 8 septembre 2010). 2. En l'occurrence, il sied d'examiner si le travail effectué par le recourant, ressortissant espagnol, lui garantit des moyens financiers suffisants pour acquérir la qualité de travailleur au sens de l'ALCP, ce qui implique de vérifier dans quelle mesure ses revenus sont suffisants pour ne pas avoir à recourir à l'aide sociale. a) Selon les normes de la Conférence suisse des institutions d'action sociale ("normes CSIAS"), les besoins de base comprennent un forfait d'entretien, les frais de logement et les frais médicaux de base. Le forfait d'entretien s'élève depuis 2013 à 986 fr. pour un ménage d'une personne. Dans le cadre du revenu cantonal d'insertion, le forfait "entretien et intégration" s'élève à 1'110 fr. pour une personne seule. Les frais particuliers d'une personne seule s'élèvent à 50 fr. Le forfait "loyer" est de 842 fr., charges en sus, pour un ménage d'une personne dans la région du Groupe 2, comprenant notamment la ville de 1******** (cf. barème annexé au RLASV). b) Au vu des normes CSIAS et du barème RI précités, le revenu du recourant devrait à tout le moins osciller entre 1'878 (986 + 842 + 50) et 2'002 (1'110 + 842 + 50) fr., en faisant abstraction des frais médicaux et des charges du logement. Or, il ressort des propres déclarations du recourant que son salaire s'élève actuellement à environ 800 fr. Ce revenu n'est pas assuré, dès lors que le recourant travaille exclusivement sur appel et n'a pas la garantie d'une rémunération mensuelle minimale. Au vu de ce salaire, qui ne couvre même pas son entretien de base, c'est à juste titre que le SPOP a considéré que le recourant ne disposait pas pour lui-même d'un revenu suffisant pour acquérir la qualité de travailleur au sens de l'art. 6 Annexe I ALCP, son travail actuel ne pouvant être qualifié que d'accessoire. Il ne remplit pas non plus les conditions pour obtenir une autorisation de séjour comme non actif (art. 24 annexe I ALCP), faute d'avoir établi disposer de moyens d'existence suffisants. 3. Les considérants qui précèdent conduisent au rejet du recours et à la confirmation de la décision attaquée.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