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PE.2015.0026 vom 21. September 2015</w:t>
      </w:r>
    </w:p>
    <w:p>
      <w:r>
        <w:t>VD Tribunal cantonal, 2015-09-21, FR</w:t>
      </w:r>
    </w:p>
    <w:p>
      <w:r>
        <w:rPr>
          <w:b/>
        </w:rPr>
        <w:t xml:space="preserve">Quelle: </w:t>
      </w:r>
      <w:r>
        <w:t>https://mcp.opencaselaw.ch/entscheid/vd_omni_PE.2015.0026</w:t>
      </w:r>
    </w:p>
    <w:p>
      <w:r>
        <w:t>FR: VD_OMNI PE.2015.0026 du 21 septembre 2015</w:t>
      </w:r>
    </w:p>
    <w:p>
      <w:r>
        <w:t>IT: VD_OMNI PE.2015.0026 del 21 settembre 2015</w:t>
      </w:r>
    </w:p>
    <w:p>
      <w:pPr>
        <w:pStyle w:val="Heading2"/>
      </w:pPr>
      <w:r>
        <w:t>Regeste</w:t>
      </w:r>
    </w:p>
    <w:p>
      <w:r>
        <w:t>A.B.C.________ D.________/Service de la population (SPOP) | Recours contre la décision du SPOP refusant de prolonger l'autorisation de séjour du recourant en raison du refus du SDE d'autoriser sa prise d'emploi. Conformément à la jurisprudence, la décision du SDE lie le SPOP lorsque celui-ci est saisi d'une demande d'autorisation de séjour. Recours rejeté. Recours au TF irrecevable par arrêt du 21 septembre 2015 (2D_57/2015).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camerounais, ne peut invoquer aucun traité en sa faveur. Le recours s'examine dès lors uniquement au regard du droit interne, soit de la loi fédérale du 16 décembre 2005 sur les étrangers (LEtr; RS 142.20) et ses dispositions d'application.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er let. a de l’ordonnance fédérale du 24 octobre 2007 relative à l’admission, au séjour et à l’exercice d’une activité lucrative (OASA; RS 142.201)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PE.2014.0242 du 13 février 2015; PE.2012.0167 du 22 août 2012 consid. 3; PE.2012.0113 du 11 avril 2012 consid. 3a). c) En l’espèce, la décision attaquée se réfère à la décision du SDE du 8 octobre 2014, qui n’a pas été contestée. L’autorité intimée n’avait ainsi pas d’autre choix que de rejeter la demande d’autorisation de séjour du recourant, qui ne bénéficie par ailleurs d'aucun droit de séjour en Suisse découlant du droit interne ou du droit international. Les considérants qui précèdent conduisent au rejet du recours et au maintien de la décision attaquée. Les frais de justice seront supportés par le recourant, qui succombe (art. 49 al. 1 LPA-VD).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