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PE.2015.0008 vom 8. Juni 2015</w:t>
      </w:r>
    </w:p>
    <w:p>
      <w:r>
        <w:t>VD Tribunal cantonal, 2015-06-08, FR</w:t>
      </w:r>
    </w:p>
    <w:p>
      <w:r>
        <w:rPr>
          <w:b/>
        </w:rPr>
        <w:t xml:space="preserve">Quelle: </w:t>
      </w:r>
      <w:r>
        <w:t>https://mcp.opencaselaw.ch/entscheid/vd_omni_PE.2015.0008</w:t>
      </w:r>
    </w:p>
    <w:p>
      <w:r>
        <w:t>FR: VD_OMNI PE.2015.0008 du 8 juin 2015</w:t>
      </w:r>
    </w:p>
    <w:p>
      <w:r>
        <w:t>IT: VD_OMNI PE.2015.0008 del 8 giugno 2015</w:t>
      </w:r>
    </w:p>
    <w:p>
      <w:pPr>
        <w:pStyle w:val="Heading2"/>
      </w:pPr>
      <w:r>
        <w:t>Regeste</w:t>
      </w:r>
    </w:p>
    <w:p>
      <w:r>
        <w:t>X.________ SA, Y.________ /Service de la population (SPOP), Service de l'emploi Contrôle du marché du travail et | Confirmation de la décision du SDE, refusant de délivrer une autorisation de séjour à un ressortissant équatorien, en vue d'exercer une activité lucrative. L'employeur ne démontre pas avoir entrepris des démarches en vue de rechercher un travailleur sur le marché indigène ou un travailleur européen. Recours rejeté.</w:t>
      </w:r>
    </w:p>
    <w:p>
      <w:pPr>
        <w:pStyle w:val="Heading2"/>
      </w:pPr>
      <w:r>
        <w:t>Erwägungen</w:t>
      </w:r>
    </w:p>
    <w:p>
      <w:r>
        <w:rPr>
          <w:b/>
        </w:rPr>
        <w:t>E. 1</w:t>
      </w:r>
    </w:p>
    <w:p>
      <w:r>
        <w:t>a) Aux termes de l'art. 18 de la loi fédérale du 16 décembre 2005 sur les étrangers (LEtr; RS 142.20) , un étranger peut être admis en vue de l'exercice d'une activité lucrative salariée aux conditions suivantes: son admission sert les intérêts économiques du pays (let. a), son employeur a déposé une demande (let. b) et les conditions fixées aux art. 20 à 25 LEtr sont remplies (let. c). Parmi les conditions évoquées à l'art. 18 let. c LEtr, l'art. 21 al. 1 LEtr prévoit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al. 1 LEtr, les directives prévoient en particulier ce qui suit (ch. 4.3.2.2):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(cf. notamment arrêt PE.2006.0405 du 19 octobre 2006 consid. 2 et les références citées).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arrêts PE.2013.0102 du 17 juin 2013, consid. 3b; PE.2006.0692 du 29 janvier 2007).</w:t>
      </w:r>
    </w:p>
    <w:p>
      <w:r>
        <w:rPr>
          <w:b/>
        </w:rPr>
        <w:t>E. 2</w:t>
      </w:r>
    </w:p>
    <w:p>
      <w:r>
        <w:t>b) Y.________ n'était, lors de sa demande adressée au SDE, pas ressortissant d'un pays membre de l'UE/AELE, de sorte qu'il ne bénéficiait alors d'aucune priorité. Il ressort du dossier que la recourante n'a entrepris aucune démarche pour rechercher un travailleur sur le marché indigène ou un travailleur européen avant de déposer la demande de main d'œuvre étrangère ayant conduit au refus de l'autorité intimée. Les exigences de l'art. 21 al. 1 LEtr ne sont ainsi à l'évidence pas réunies. C'est dès lors à juste titre que l'autorité intimée a refusé de délivrer l'autorisation de séjour requise.</w:t>
      </w:r>
    </w:p>
    <w:p>
      <w:r>
        <w:rPr>
          <w:b/>
        </w:rPr>
        <w:t>E. 3</w:t>
      </w:r>
    </w:p>
    <w:p>
      <w:r>
        <w:t>La recourante s'est prévalue du fait que Y.________ serait le père d'un enfant suisse et qu'il vivrait en concubinage avec la mère de son enfant, ressortissante suisse. Il semble par ailleurs qu'il ait obtenu la nationalité espagnole. Il n'est pas exclu que Y.________ puisse se prévaloir de ces circonstances pour obtenir une autorisation de séjour. Une procédure est d'ailleurs actuellement pendante auprès du SPOP. Cette problématique sort toutefois du cadre du présent litige, qui porte exclusivement sur la demande de prise d'emploi que la recourante a adressée au SDE le 24 novembre 2014 .</w:t>
      </w:r>
    </w:p>
    <w:p>
      <w:r>
        <w:rPr>
          <w:b/>
        </w:rPr>
        <w:t>E. 4</w:t>
      </w:r>
    </w:p>
    <w:p>
      <w:r>
        <w:t>Le recours doit ainsi être rejeté et la décision attaquée confirmée. Les frais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