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PE.2014.0509 vom 15. April 2015</w:t>
      </w:r>
    </w:p>
    <w:p>
      <w:r>
        <w:t>VD Tribunal cantonal, 2015-04-15, FR</w:t>
      </w:r>
    </w:p>
    <w:p>
      <w:r>
        <w:rPr>
          <w:b/>
        </w:rPr>
        <w:t xml:space="preserve">Quelle: </w:t>
      </w:r>
      <w:r>
        <w:t>https://mcp.opencaselaw.ch/entscheid/vd_omni_PE.2014.0509</w:t>
      </w:r>
    </w:p>
    <w:p>
      <w:r>
        <w:t>FR: VD_OMNI PE.2014.0509 du 15 avril 2015</w:t>
      </w:r>
    </w:p>
    <w:p>
      <w:r>
        <w:t>IT: VD_OMNI PE.2014.0509 del 15 aprile 2015</w:t>
      </w:r>
    </w:p>
    <w:p>
      <w:pPr>
        <w:pStyle w:val="Heading2"/>
      </w:pPr>
      <w:r>
        <w:t>Regeste</w:t>
      </w:r>
    </w:p>
    <w:p>
      <w:r>
        <w:t>X.________, Y.________/Service de l'emploi Contrôle du marché du travail et, Service de la population (SPOP) | Refus confirmé d'une demande de main d'oeuvre étrangère déposée en faveur d'une ressortissante roumaine engagée comme aide de cuisine, l'employeur n'ayant pas démontré avoir déployé des efforts suffisants pour trouver un travailleur sur le marché indigène.</w:t>
      </w:r>
    </w:p>
    <w:p>
      <w:pPr>
        <w:pStyle w:val="Heading2"/>
      </w:pPr>
      <w:r>
        <w:t>Erwägungen</w:t>
      </w:r>
    </w:p>
    <w:p>
      <w:r>
        <w:rPr>
          <w:b/>
        </w:rPr>
        <w:t>E. 1</w:t>
      </w:r>
    </w:p>
    <w:p>
      <w:r>
        <w:t>Déposé dans le délai de trente jours fixé par l’art. 95 de la loi vaudoise du 28 octobre 2008 sur la procédure administrative (LPA-VD; RSV 173.36) et régularisé dans le délai imparti par le juge instructeur, le recours est intervenu en temps utile et respecte au surplus les conditions formelles énoncées à l’art. 79 LPA-VD (par renvoi de l’art. 99 LPA-VD), de sorte qu'il y a lieu d'entrer en matière sur le fond.</w:t>
      </w:r>
    </w:p>
    <w:p>
      <w:r>
        <w:rPr>
          <w:b/>
        </w:rPr>
        <w:t>E. 2</w:t>
      </w:r>
    </w:p>
    <w:p>
      <w:r>
        <w:t>A.X.________ conteste la décision attaquée en faisant valoir que, malgré les annonces passées, elle n'a reçu qu'une candidature qui ne correspondait qu'en partie au profil du poste, lequel exige de maîtriser les spécialités culinaires italiennes et roumaines. Elle ajoute que B.Y.________ vit en concubinage, de sorte que le salaire proposé pour cette activité à temps partiel lui suffirait pour vivre. 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L’adhésion de la Bulgarie et de la Roumanie à l’Union européenne, le 1 er janvier 2007, n’a toutefois pas entraîné l’extension à ces Etats de l'ALCP. Le 8 février 2009, le peuple suisse a accepté, en même temps que la reconduction de cet accord, le protocole d’extension de ce dernier à la Bulgarie et à la Roumanie. Ce protocole du 27 mai 2008 à l'ALCP, concernant la participation, en tant que parties contractantes, de la République de Bulgarie et de la Roumanie, à la suite de leur adhésion à l’Union européenne (RS 0.142.112.681.1), entré en vigueur le 1 er juin 2009,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dans ce même délai,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La période transitoire, durant laquelle des contingents et des prescriptions relatives au marché du travail peuvent être appliqués, initialement prévue jusqu'au 31 mai 2011, a été prolongée jusqu'au 31 mai 2016 (RO 2014 1893; cf. également arrêt du TF  2C_434/2014 du 7 août 2014 consid. 1.1). L'art. 38 al. 4 de l'ordonnance fédérale du 22 mai 2002 sur l'introduction de la libre circulation des personnes (OLCP; RS 142.203), tenant compte des possibilités de prolongation ménagées par l'art. 10 ALCP, prévoit que les dispositions transitoires précitées s'appliquent au plus durant les sept premières années suivant l'entrée en vigueur du protocole du 27 mai 2008. b) S’agissant du contrôle de la priorité des travailleurs indigènes – en relation notamment avec l’art. 10 al. 2b ALCP –, le ch. 5.5.2 des directives émises par l'ancien Office fédéral des migrations (devenu le 1 er janvier 2015 le Secrétariat d'Etat aux migrations, ci-après: SEM) concernant l'introduction progressive de la libre circulation des personnes prévoit, dans sa version de janvier 2015, ce qui suit: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 l'UE-2 [ndlr: la Bulgarie et la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Selon le Tribunal fédéral, il ressort du dernier paragraphe ci-dessus que l’art. 21 de la loi fédérale du 16 décembre 2005 sur les étrangers (LEtr; RS 142.20), intitulé " Ordre de priorité ", est applicable, au moins par analogie, à l’admission en vue de l’exercice d’une activité lucrative en Suisse des ressortissants des nouveaux Etats membres de l’Union européenne (arrêt du TF 2C_434/2014 du 7 août 2014 consid. 2.2; arrêt du TF 2D_50/2012 du 1 er avril 2013 consid. 4.2). Cette dernière disposition est ainsi applicable au cas particulier, dès lors que l'employée dont l'engagement est souhaité par la recourante est de nationalité roumaine. c)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 ch. 4.3.2.2 des directives du SEM intitulées "Domaine des étrangers" prévoit, dans sa version d'octobre 2013 actualisée le 13 février 2015,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CDAP PE.2014.0006 du 1 er juillet 2014 consid. 2b; PE.2013.0125 du 16 octobre 2013 consid. 3).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(PE.2008.0480 du 27 février 2009 consid. 2c, confirmé sur recours par le Tribunal fédéral dans l'arrêt 2C_217/2009 du 11 septembre 2009 consid. 3.2). Ont aussi été considérées comme insuffisantes des recherches par voie d'une ou deux annonces dans la presse, un ou deux ans avant le dépôt de la demande pour l'engagement d'un ressortissant bulgare. Dans ce  cas, aucune annonce n'avait été faite à l'ORP (PE.2009.0244 du 27 novembre 2009 consid. 2c). La cour de céans a aussi considéré que ne constituaient pas des recherches suffisantes sur le marché indigène la publication d'une annonce dans un hebdomadaire lausannois à trois reprises étalées sur trois mois avant d'engager une ressortissante roumaine, et l'annonce du poste auprès de l'ORP plus de deux mois après la conclusion du contrat de travail, respectivement un mois après le dépôt de la demande de permis de séjour (PE.2014.0191 du 15 septembre 2014). Dans l'arrêt PE.2014.0044 du 26 janvier 2015, la cour a également confirmé la décision du SDE refusant la demande de main d'œuvre étrangère en faveur d'une ressortissante roumaine engagée en qualité d'aide de cuisine aux motifs que l'employeur, même s'il prétendait avoir publié plusieurs annonces dans des commerces et restaurants de la région ainsi que sur un site internet, n'avait produit qu'une annonce publiée sur le site www.anibis.ch , quatre jours après la notification du refus de l’autorité intimée. Par ailleurs, parmi les 23 candidatures qui étaient parvenues à l'employeur suite à l’annonce effectuée auprès de l’ORP, il n’en avait retenu aucune, au motif que la seule personne qui s’était présentée ne répondait pas aux compétences requises. Or, il ressortait du dossier que le profil de ces 23 personnes était en adéquation avec le poste d’aide de cuisine proposé et que 19 d’entre elles disposaient d’une expérience au sein de restaurants vaudois (PE.2014.0044 du 26 janvier 2015). d) En l'occurrence, la recourante responsable du restaurant allègue que le poste à pourvoir nécessite de maîtriser les spécialités culinaires italiennes et roumaines. Or, il est légitime de s'interroger sur cette exigence. En effet, le poste à pourvoir n'est pas celui d'un cuisinier, mais d'un aide de cuisine, soit un emploi qui peut être exercé par des personnes sans qualification particulière. Il paraît dès lors tout à fait réaliste de penser que, même si une personne ne maîtrise pas la cuisine roumaine, elle pourrait être formée et acquérir rapidement les connaissances suffisantes pour la fonction prévue dans la cuisine. Ceci dit, même dans l'hypothèse où ce poste nécessiterait des connaissances particulières, cela ne dispensait pas l'employeur de faire tous les efforts que l'on pouvait attendre de lui pour trouver un travailleur sur le marché indigène. Manifestement, tel n'a pas été le cas. En effet, l'employeur a adressé le 6 octobre 2014 à l'autorité intimée une demande d'autorisation de travail en faveur de B.Y.________. A cette époque, il n'avait entrepris aucune démarche pour trouver un travailleur indigène capable d'occuper le poste recherché; du moins n'apporte-t-il pas la preuve de telles recherches. En effet, ce n'est que le 15 octobre 2014 qu'il a fait paraître une annonce sur le site www.anibis.ch et qu'il a annoncé ce poste vacant à l'ORP, soit après avoir reçu la lettre de l'autorité intimée du 9 octobre 2014 l'invitant à lui transmettre les preuves de recherches récentes préalablement effectuées en vue de trouver un employé sur le marché indigène du travail et l'inscription du poste auprès de l'ORP. La recourante n'allègue pas non plus avoir fait paraître des annonces dans la presse régionale ou avoir recouru aux services d'agences de placement de personnel. En regard des cas jurisprudentiels rappelés ci-dessus, il faut admettre que les démarches entreprises par l'employeur étaient insuffisantes et impropres à établir que sur le marché indigène, personne ne répondait au profil recherché. A cela s'ajoute que la recourante fait valoir dans son recours que seul un candidat qui ne correspondait qu'" en partie " au profil du poste aurait postulé. Or, selon les indications du SDE, non contestées par les recourantes dans le délai de réplique, l'ORP a assigné 31 demandeurs d'emploi à postuler et l'employeur n'aurait pas répondu à treize de ces postulations. Dans ses écritures, A.X.________ ne démontre pas qu'aucun de ces candidats ne remplissait les qualifications requises ou, à tout le moins, qu'ils n'auraient pas pu être formés à ces fins. Dans ces circonstances, au vu des exigences élevées posées par la jurisprudence en la matière, on ne saurait retenir que tous les efforts ont été déployés par A.X.________ en vue de trouver un travailleur sur le marché indigène, mais que c'est par pure convenance personnelle qu'elle a arrêté son choix sur la personne de B.Y.________. Ce sentiment est renforcé par le fait que cette dernière est la compagne de son frère. A.X.________ n'a ainsi pas respecté l'ordre de priorité auquel est soumis l'engagement d'un ressortissant bulgare, en vertu du droit fédéral. C'est dès lors à juste titre que l'autorité intimée a refusé d'octroyer l'autorisation sollicitée. Le recours devant être rejeté pour ce motif, il n'est pas nécessaire d'examiner la question du salaire offert à B.Y.________, et de déterminer s’il était insuffisant au regard des exigences applicables à l’engagement de travailleurs étrangers en Suisse.</w:t>
      </w:r>
    </w:p>
    <w:p>
      <w:r>
        <w:rPr>
          <w:b/>
        </w:rPr>
        <w:t>E. 3</w:t>
      </w:r>
    </w:p>
    <w:p>
      <w:r>
        <w:t>En définitive, le recours, mal fondé, doit être rejeté et la décision attaquée confirmée. Les frais de justice sont mis à la charge des deux recourantes, qui succombent (cf. art. 49 al. 1 LPA-VD). Il n'y a pas lieu d'allouer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