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PE.2014.0495 vom 28. Oktober 2015</w:t>
      </w:r>
    </w:p>
    <w:p>
      <w:r>
        <w:t>VD Tribunal cantonal, 2015-10-28, FR</w:t>
      </w:r>
    </w:p>
    <w:p>
      <w:r>
        <w:rPr>
          <w:b/>
        </w:rPr>
        <w:t xml:space="preserve">Quelle: </w:t>
      </w:r>
      <w:r>
        <w:t>https://mcp.opencaselaw.ch/entscheid/vd_omni_PE.2014.0495</w:t>
      </w:r>
    </w:p>
    <w:p>
      <w:r>
        <w:t>FR: VD_OMNI PE.2014.0495 du 28 octobre 2015</w:t>
      </w:r>
    </w:p>
    <w:p>
      <w:r>
        <w:t>IT: VD_OMNI PE.2014.0495 del 28 ottobre 2015</w:t>
      </w:r>
    </w:p>
    <w:p>
      <w:pPr>
        <w:pStyle w:val="Heading2"/>
      </w:pPr>
      <w:r>
        <w:t>Regeste</w:t>
      </w:r>
    </w:p>
    <w:p>
      <w:r>
        <w:t>X________/Service de la population (SPOP) | Le recourant ne remplit pas les conditions temporelles fixées à l'art. 34 al. 2 et 4 LEtr pour obtenir une autorisation d'établissement. Les périodes durant lesquelles le recourant a pu demeurer en Suisse au bénéfice de l'effet suspensif de ses recours ne peuvent pas être prises en compte (al. 1). Le recourant ne peut pas se prévaloir de l'art. 50 al. 1 let. a LEtr dès lors qu'il n'a pas fait ménage commun en Suisse avec son épouse durant trois ans. Pas de raisons personnelles majeures justifiant l'octroi d'une autorisation de séjour en application de l'art. 50 al. 1 let. b LEtr dès lors que le recourant a vécu jusqu'à l'âge de 36 ans dans son pays d'origine (Cameroun) dans lequel il dispose d'un important réseau familial, notamment ses deux enfants et leur mère (consid. 2). Malgré la durée de son séjour en Suisse (environ 15 ans) et sa bonne intégration, pas de droit à une autorisation de séjour en application de l'art. 8 CEDH en relation avec la protection de la vie privée (consid. 3). Recours en matière de droit public au Tribunal fédéral rejeté en tant que recevable et recours constitutionnel subsidiaire déclaré irrecevable (ATF 2C_1071/2015 du 8 mars 2016).</w:t>
      </w:r>
    </w:p>
    <w:p>
      <w:pPr>
        <w:pStyle w:val="Heading2"/>
      </w:pPr>
      <w:r>
        <w:t>Erwägungen</w:t>
      </w:r>
    </w:p>
    <w:p>
      <w:r>
        <w:rPr>
          <w:b/>
        </w:rPr>
        <w:t>E. 1</w:t>
      </w:r>
    </w:p>
    <w:p>
      <w:r>
        <w:t>L'autorisation d'établissement est octroyée pour une durée indéterminée et sans conditions.</w:t>
      </w:r>
    </w:p>
    <w:p>
      <w:r>
        <w:rPr>
          <w:b/>
        </w:rPr>
        <w:t>E. 2</w:t>
      </w:r>
    </w:p>
    <w:p>
      <w:r>
        <w:t>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w:t>
      </w:r>
    </w:p>
    <w:p>
      <w:r>
        <w:rPr>
          <w:b/>
        </w:rPr>
        <w:t>E. 3</w:t>
      </w:r>
    </w:p>
    <w:p>
      <w:r>
        <w:t>L'autorisation d'établissement peut être octroyée au terme d'un séjour plus court si des raisons majeures le justifient.</w:t>
      </w:r>
    </w:p>
    <w:p>
      <w:r>
        <w:rPr>
          <w:b/>
        </w:rPr>
        <w:t>E. 3.3</w:t>
      </w:r>
    </w:p>
    <w:p>
      <w:r>
        <w:t>p. 117 ss). bb) Le recourant et son épouse se sont mariés le 29 octobre 2010. Les conjoints se sont séparés au mois de septembre 2012. Il s'ensuit qu'ils n'ont pas fait ménage commun en Suisse pendant trois ans. Le recourant ne saurait donc bénéficier de l'art. 50 al. 1 let. a LEtr. b) aa) Selon l'art. 50 al. 1 let. b LEtr, le droit du conjoint à l'octroi d'une autorisation de séjour et à sa prolongation subsiste après la dissolution de la famille lorsque la poursuite du séjour en Suisse s’impose pour des raisons personnelles majeures. L'art. 50 LEtr précise à son al. 2, dans sa teneur en vigueur depuis le 1 er juillet 2013,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p. 3 s.). En font notamment partie les violences conjugales (art. 50 al. 2 LEtr et 77 al. 2 OASA), qui doivent revêtir une certaine intensité (ATF 136 II 1 consid. 5.3 p. 4), la réintégration fortement compromise dans le pays d'origine et le cas dans lequel le conjoint duquel dépend le droit de séjour de l'étranger décède (ATF 137 II 345 consid. 3.2.2 p. 349; 136 II 1 consid. 5.3 p. 4). La jurisprudence a précisé que la violence conjugale et la réintégration sociale fortement compromise dans le pays de provenance ne devaient pas forcément être réalisées cumulativement pour justifier l'application de l'art. 50 al. 1 let. b et al. 2 LEtr (cf. ATF 138 II 229 consid. 3.2.2 p. 235; 136 II 1 consid.</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Il résulte de ce qui précède que le recours doit être rejeté et la décision attaquée confirmée. Vu le sort du recours, les frais de la cause sont mis à la charge du recourant, qui n'a pas droit aux dépens requis.</w:t>
      </w:r>
    </w:p>
    <w:p>
      <w:r>
        <w:rPr>
          <w:b/>
        </w:rPr>
        <w:t>E. 5.3</w:t>
      </w:r>
    </w:p>
    <w:p>
      <w:r>
        <w:t>p. 4). Cette disposition a en effet pour vocation d'éviter les cas de rigueur ou d'extrême gravité (cf. ATF 137 II 1 consid. 3.1 p. 3 s.). A cet égard, la violence conjugale ou la réintégration fortement compromise dans le pays d'origine peuvent revêtir une importance et un poids différents dans cette appréciation et suffire isolément à admettre des raisons personnelles majeures. S'agissant de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p. 349; 2C_822/2013 du 25 janvier 2014 consid. 5.2).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(ATF 2C_1188/2012 du 17 avril 2013 consid. 4.1).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PE.2014.0151 du 2 octobre 2014 consid. 4a). bb) En l'espèce, le recourant ne prétend pas avoir été victime de violence conjugale. Pour ce qui est de sa réintégration sociale dans son pays d'origine, on relève que l’intéressé y a vécu jusqu'à l'âge de 36 ans et qu'il y a notamment effectué sa scolarité et ses études. Il a ainsi passé dans son pays toute son enfance, son adolescence et sa vie de jeune adulte, années qui, selon la jurisprudence du Tribunal fédéral, sont décisives pour la formation de la personnalité (cf. ATF 123 II 125 consid. 5b/aa). A cela s’ajoute que, comme le Tribunal administratif fédéral l'a relevé dans son arrêt du 20 janvier 2010 (TAF C-651/2006), le recourant dispose d'un important réseau familial au Cameroun en mesure de lui apporter un soutien (moral et matériel) à son retour et de favoriser sa réinstallation (notamment ses deux enfants et leur mère, quatre sœurs, deux frères, trois oncles et trois tantes maternels, une tante paternelle, des cousin[e]s, ainsi que des cousin[e]s de sa mère et de son père). Le recourant n'a en revanche pas d'attaches familiales en Suisse, hormis un de ses frères. Comme le relève le recourant, il est probable que, en raison de son âge, sa réintégration professionnelle dans son pays d'origine ne sera pas aisée. On ne saurait toutefois déduire de cette seule difficulté que la réintégration sociale dans le pays de provenance serait fortement compromise au sens de l'art. 50 al. 2 LEtr. Cette difficulté doit au demeurant être relativisée compte tenu de l'important soutien familial dont le recourant devrait bénéficier. 3. Vu la durée du séjour du recourant en Suisse, pourrait encore se poser la question de l'octroi d'une autorisation de séjour en application de l'art. 8 CEDH en relation avec la protection de la vie privée. a) Sous l'angle étroit de la protection à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systématique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b) En l'occurrence, le recourant, qui travaille depuis 2008 comme chauffeur de taxis, apparaît bien intégré. On se trouve toutefois en présence d'une intégration ordinaire et le recourant ne fait pas état de liens sociaux et professionnels spécialement intenses avec la Suisse au sens de la jurisprudence précitée. Dans ces conditions, l'octroi d'une autorisation de séjour en application de l'art. 8 CEDH n'entre également pas en considération. 4. Les éléments mentionnés ci-dessus conduisent également à constater que le recourant ne se trouve pas dans un cas individuel d'une extrême gravité justifiant l'octroi d'une autorisation de séjour en application de l'art. 30. al. 1 let. b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