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PE.2014.0432 vom 2. März 2015</w:t>
      </w:r>
    </w:p>
    <w:p>
      <w:r>
        <w:t>VD Tribunal cantonal, 2015-03-02, FR</w:t>
      </w:r>
    </w:p>
    <w:p>
      <w:r>
        <w:rPr>
          <w:b/>
        </w:rPr>
        <w:t xml:space="preserve">Quelle: </w:t>
      </w:r>
      <w:r>
        <w:t>https://mcp.opencaselaw.ch/entscheid/vd_omni_PE.2014.0432</w:t>
      </w:r>
    </w:p>
    <w:p>
      <w:r>
        <w:t>FR: VD_OMNI PE.2014.0432 du 2 mars 2015</w:t>
      </w:r>
    </w:p>
    <w:p>
      <w:r>
        <w:t>IT: VD_OMNI PE.2014.0432 del 2 marzo 2015</w:t>
      </w:r>
    </w:p>
    <w:p>
      <w:pPr>
        <w:pStyle w:val="Heading2"/>
      </w:pPr>
      <w:r>
        <w:t>Regeste</w:t>
      </w:r>
    </w:p>
    <w:p>
      <w:r>
        <w:t>X.____________ Sàrl, Y.____________ c/Service de l'emploi, Service de la population (SPOP) | Refus confirmé d'une demande de main d'oeuvre étrangère déposée en faveur d'un ressortissant bulgare engagé en qualité d'aide plâtrier-peintre: l'employeur n'a pas établi avoir déployé des efforts suffisants pour trouver un travailleur sur le marché indigène, la Bulgarie étant soumise au contrôle de la priorité des travailleurs indigènes. Rejet du recours.</w:t>
      </w:r>
    </w:p>
    <w:p>
      <w:pPr>
        <w:pStyle w:val="Heading2"/>
      </w:pPr>
      <w:r>
        <w:t>Erwägungen</w:t>
      </w:r>
    </w:p>
    <w:p>
      <w:r>
        <w:rPr>
          <w:b/>
        </w:rPr>
        <w:t>E. 1</w:t>
      </w:r>
    </w:p>
    <w:p>
      <w:r>
        <w:t>a) L'Accord du 21 juin 1999 entre la Confédération suisse, d’une part, et la Communauté européenne et ses Etats membres, d’autre part, sur la libre circulation des personnes (ALCP; RS 0.142.112.681) garantit aux ressortissants des Etats contractants un droit de séjour et d’accès à une activité économique (art. 1 let. a et 4 ALCP). L’adhésion de la Bulgarie et de la Roumanie à l’Union européenne, le 1 er janvier 2007, n’a toutefois pas entraîné l’extension à ces Etats de l'ALCP. Le 8 février 2009, le peuple suisse a accepté, en même temps que la reconduction de cet accord, le protocole d’extension de ce dernier à la Bulgarie et à la Roumanie. Ce protocole du 27 mai 2008 à l'ALCP,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indique quant à lui que la Suisse, la République de Bulgarie et la Roumanie peuvent, dans ce même délai,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La période transitoire, durant laquelle des contingents et des prescriptions relatives au marché du travail peuvent être appliqués, initialement prévue jusqu'au 31 mai 2011, a été prolongée jusqu'au 31 mai 2016 (RO 2014 1893; cf. également TF  2C_434/2014 du 7 août 2014 consid. 1.1). L'art. 38 al. 4 de l'ordonnance fédérale du 22 mai 2002 sur l'introduction de la libre circulation des personnes (OLCP; RS 142.203), tenant compte des possibilités de prolongation ménagées par l'art. 10 ALCP, prévoit que les dispositions transitoires précitées s'appliquent au plus durant les sept premières années suivant l'entrée en vigueur du protocole du 27 mai 2008. b) S’agissant du contrôle de la priorité des travailleurs indigènes – en relation notamment avec l’art. 10 al. 2b ALCP –, le ch. 5.5.2 des directives émises par l'ancien Office fédéral des migrations (devenu le 1 er janvier 2015 le Secrétariat d'Etat aux migrations, ci-après: SEM) concernant l'introduction progressive de la libre circulation des personnes prévoit, dans sa version de janvier 2015, ce qui suit: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 l'UE-2 [ndlr: la Bulgarie et la Roumanie]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principe en matière de respect de la priorité des travailleurs indigènes." Selon le Tribunal fédéral, il ressort du dernier paragraphe ci-dessus que l’art. 21 de la loi fédérale du 16 décembre 2005 sur les étrangers (LEtr; RS 142.20), intitulé "Ordre de priorité", est applicable, au moins par analogie, à l’admission en vue de l’exercice d’une activité lucrative en Suisse des ressortissants des nouveaux Etats membres de l’Union européenne (TF 2C_434/2014 du 7 août 2014 consid. 2.2 et la référence; TF 2D_50/2012 du 1 er avril 2013 consid. 4.2 et la référence). Cette dernière disposition est ainsi applicable au cas particulier, dès lors que l'employé dont l'engagement est souhaité par la recourante 1 est de nationalité bulgare. c) 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 ch. 4.3.2.2 des directives du SEM intitulées "Domaine des étrangers" prévoit, dans sa version d'octobre 2013 actualisée le 13 février 2015, ce qui suit: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arrêts PE.2014.0006 du 1 er juillet 2014 consid. 2b et les références; PE.2013.0125 du 16 octobre 2013 consid. 3 et les références). Ainsi, dans le cas d'un employeur qui souhaitait engager une ressortissante polonaise, la cour de céans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l'arrêt 2C_217/2009 du 11 septembre 2009 consid. 3.2). S'agissant d'une ressortissante roumaine, la cour a jugé que la seule annonce du poste sur le site internet de l'employeur et sur les présentoirs de grands magasins n'était pas suffisante, l'inscription auprès de l'ORP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l'ORP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w:t>
      </w:r>
    </w:p>
    <w:p>
      <w:r>
        <w:rPr>
          <w:b/>
        </w:rPr>
        <w:t>E. 2</w:t>
      </w:r>
    </w:p>
    <w:p>
      <w:r>
        <w:t>En l'espèce, la société recourante explique être à la recherche d'un aide plâtrier-peinte depuis plus d'un an et avoir vainement cherché à engager une personne demandeuse d'emploi sur le marché indigène, présentant le profil souhaité. Elle affirme que les personnes trouvées avec l'aide de l'ORP ou d'une société de location de service n'ont pas souhaité travailler pour elle pour une durée indéterminée et/ou ne lui ont pas donné satisfaction, notamment en raison du fait qu'elles ne maîtrisaient pas suffisamment ses techniques de travail, en particulier en ce qui concerne l'utilisation des machines de type "G4+". Le dossier ne contient toutefois aucune annonce publiée dans la presse ni aucun dossier de postulation d'autres candidats, alors que l'autorité intimée avait pourtant expressément demandé, par lettre du 13 août 2014, la production des preuves de recherches effectuées au préalable (soit annonces dans les quotidiens et la presse spécialisée, recours aux agences de placement privées et aux offices régionaux de placement) ainsi qu'un compte-rendu détaillé des résultats obtenus. Tout au plus a-t-elle communiqué, dans le cadre de la présente procédure, quatre numéros de téléphone portable, sans précision du nom des personnes concernées, et qui appartiendraient à des personnes envoyées par l'ORP et qui ne bénéficieraient pas des qualités et de l'expérience professionnelle recherchées ou encore qui ne souhaiteraient pas travailler pour elle. Elle sollicitait dès lors la production, en mains de l'ORP, de son dossier complet ainsi que de tous documents attestant des candidatures qui lui avaient été transmises par ce service. Ce faisant, la recourante 1 oublie toutefois qu'en tant qu'employeur c'est à elle qu'il appartient de rendre crédibles les efforts qu'elle a déployés et de prouver les recherches qu'elle a effectuées; or, il lui était loisible de requérir elle-même auprès de l'ORP copie de ces documents et, en leur absence, force est de constater que les recherches effectuées par la recourante 1 sur le marché indigène sont largement insuffisantes au regard des exigences jurisprudentielles susmentionnées. Partant, c'est à juste titre que l'autorité intimée a refusé d'octroyer l'autorisation sollicitée.</w:t>
      </w:r>
    </w:p>
    <w:p>
      <w:r>
        <w:rPr>
          <w:b/>
        </w:rPr>
        <w:t>E. 3</w:t>
      </w:r>
    </w:p>
    <w:p>
      <w:r>
        <w:t>Il résulte de ce qui précède que le recours doit être rejeté et la décision attaquée, confirmée. Succombant, les recourants supportent les frais de justice et n'ont pas droit à des dépens (art. 49, 55, 91 et 99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