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PE.2014.0389 vom 27. Februar 2013</w:t>
      </w:r>
    </w:p>
    <w:p>
      <w:r>
        <w:t>VD Tribunal cantonal, 2013-02-27, FR</w:t>
      </w:r>
    </w:p>
    <w:p>
      <w:r>
        <w:rPr>
          <w:b/>
        </w:rPr>
        <w:t xml:space="preserve">Quelle: </w:t>
      </w:r>
      <w:r>
        <w:t>https://mcp.opencaselaw.ch/entscheid/vd_omni_PE.2014.0389</w:t>
      </w:r>
    </w:p>
    <w:p>
      <w:r>
        <w:t>FR: VD_OMNI PE.2014.0389 du 27 février 2013</w:t>
      </w:r>
    </w:p>
    <w:p>
      <w:r>
        <w:t>IT: VD_OMNI PE.2014.0389 del 27 febbraio 2013</w:t>
      </w:r>
    </w:p>
    <w:p>
      <w:pPr>
        <w:pStyle w:val="Heading2"/>
      </w:pPr>
      <w:r>
        <w:t>Regeste</w:t>
      </w:r>
    </w:p>
    <w:p>
      <w:r>
        <w:t>X.________/Service de la population (SPOP) | Par arrêt du 27 février 2013 entré en force (PE.2012.0375), la CDAP a confirmé le refus du SPOP de renouveler l'autorisation de séjour de la recourante, car elle ne faisait plus ménage commun avec son conjoint. Recours contre le refus du SPOP d'entrer en matière sur la demande de réexamen, subsidiairement la rejetant. Même si la recourante est retournée vivre auprès de son conjoint d'avril 2013 à janvier 2014, cette période ne saurait être additionnée à la première période de vie commune, les époux n'ayant pas eu pendant leur séparation la volonté de maintenir une union conjugale. L'union conjugale entre la recourante et son mari ayant duré moins de trois ans, elle ne peut ainsi pas prétendre à l'octroi d'une autorisation de séjour fondée sur l'art. 50 al. 1 let. a LEtr. Par ailleurs, à supposer que les violences physiques, sexuelles, psychologiques et économiques que la recourante allègue avoir subies de la part de son conjoint fussent prouvées, elles n'atteignent pas l'intensité suffisante pour justifier la délivrance d'une autorisation de séjour fondée sur l'art. 50 al. 1 let. b et al. 2 LEtr. Rejet du recours. Recours en matière de droit public rejeté, dans la mesure de sa recevabilité, par le TF (2C_331/2015 du 5 février 2016)</w:t>
      </w:r>
    </w:p>
    <w:p>
      <w:pPr>
        <w:pStyle w:val="Heading2"/>
      </w:pPr>
      <w:r>
        <w:t>Erwägungen</w:t>
      </w:r>
    </w:p>
    <w:p>
      <w:r>
        <w:rPr>
          <w:b/>
        </w:rPr>
        <w:t>E. 1</w:t>
      </w:r>
    </w:p>
    <w:p>
      <w:r>
        <w:t>Interjeté en temps utile (art. 95 de la loi vaudoise du 28 octobre 2008 sur la procédure administrative - LPA-VD; RSV 173.36) et selon les formes prescrites par la loi (cf. en particulier art. 79 al. 1 LPA-VD, par renvoi de l'art. 99 LPA-VD), le recours est recevable et il y a lieu d'entrer en matière sur le fond.</w:t>
      </w:r>
    </w:p>
    <w:p>
      <w:r>
        <w:rPr>
          <w:b/>
        </w:rPr>
        <w:t>E. 2</w:t>
      </w:r>
    </w:p>
    <w:p>
      <w:r>
        <w:t>A titre de mesures d'instruction, la recourante demande à être entendue personnellement, afin que la Cour de céans puisse apprécier sa crédibilité quant aux violences conjugales subies et la réalité de sa détresse psychologique en raison de ces mêmes faits. a)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L’art. 29 al. 2 de la Constitution fédérale de la Confédération suisse du 18 avril 1999 (Cst ; RS 101) n’accorde en effet pas à la partie dans la procédure devant la juridiction administrative le droit inconditionnel d’être entendue oralement, ni celui d’obtenir l’audition de témoins ou la mise en œuvre d’une expertise, à moins que soit en cause l’examen personnel de la partie en cause (ATF 134 I 140 consid. 5.3; 122 II 464 consid. 4c). En outre,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134 I 140 consid. 5.2; 130 II 425 consid. 2.1). b) En l’espèce, par appréciation anticipée des preuves, le Tribunal s’estime en mesure de statuer en connaissance de cause, sans entendre la recourante, dans la mesure où cette dernière, assistée d'un avocat, a pu s'exprimer par écrit dans son recours ainsi que dans sa réplique. Par ailleurs, l’audition de l’intéressée n’est pas de nature à apporter la preuve stricte de violences commises ou d’une atteinte à la santé psychique.</w:t>
      </w:r>
    </w:p>
    <w:p>
      <w:r>
        <w:rPr>
          <w:b/>
        </w:rPr>
        <w:t>E. 3</w:t>
      </w:r>
    </w:p>
    <w:p>
      <w:r>
        <w:t>La recourante soutient qu'ayant repris la vie commune avec son époux en avril 2013, cette réconciliation faisait renaître un droit à une autorisation de séjour. Ensuite, la nouvelle séparation, après l'épisode de "violences symétriques" du 17 janvier 2014, devait amener le SPOP à lui accorder une prolongation de son autorisation de séjour en application de l'art. 50 al. 1 let. a LEtr, puisque la vie commune entre elle et son époux avait désormais duré plus de trois ans, les périodes où ils avaient vécu ensemble devant être cumulées. Selon elle, l'autorité intimée ne devait donc pas traiter sa requête comme une demande de réexamen de la décision du 28 septembre 2012, prise après la première séparation du couple, mais comme une nouvelle demande d'autorisation de séjour. a) D'après l'article 50 al. 1 let. a LEtr, après dissolution de la famille, le droit du conjoint à l'octroi d'une autorisation de séjour et à la prolongation de sa durée de validité en vertu des art. 42 et 43 subsiste si l'union conjugale a duré au moins trois ans et que l'intégration est réussie. Ces deux conditions sont cumulatives ( ATF 136 II 113 consid. 3.4). Dans l'ATF 140 II 345, le Tribunal fédéral a rappelé que la période minimale de trois ans de l'union conjugale commence à courir dès le début de la cohabitation effective des époux en Suisse et s'achève au moment où ceux-ci cessent de faire ménage commun (ATF 138 II 229 consid. 2; ATF 136 II 113 consid. 3.3.3). Seules les années de mariage et non de concubinage sont pertinentes (ATF 136 II 113 consid. 3.3.1; arrêt 2C_178/2014 du 20 mars 2014 consid. 5.2).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(arrêt 2C_430/2011 du 11 octobre 2010 consid. 4.1.2).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LEtr), à condition que les époux soient véritablement et sérieusement déterminés à poursuivre leur communauté conjugale (ATF 140 II 289 consid. 3.5.1; arrêts 2C_602/2013 du 10 juin 2014 consid. 2.2 ["eine tatsächlich gelebte eheliche Beziehung und einen entsprechenden Ehewillen"]; 2C_231/2011 du 21 juillet 2011 consid. 4.6). La question de savoir si les périodes de ménage commun des époux en Suisse peuvent s'additionner même lorsqu'elles ont été interrompues par plusieurs périodes d'éloignement non justifiées au regard de l'art. 49 LEtr (question laissée ouverte in arrêt 2C_830/2010 du 10 juin 2011 consid. 2.2.2; cf. aussi arrêt 2C_873/2013 du 25 mars 2014 consid. 3.5.1) doit être tranchée par l'affirmative. En effet, le point de savoir si la séparation géographique du couple qui continue à former une communauté conjugale se justifiait pour des raisons majeures permet uniquement de vérifier si la période de vie séparée pourra être prise en compte pour calculer la durée effective de l'union conjugale, au sens de l'art. 50 al. 1 let. a LEtr. Pour établir si la période pendant laquelle un couple vit à nouveau ensemble après une séparation doit ou non être comptabilisée, il faut savoir si les époux ont conservé la volonté sérieuse de maintenir une union conjugale pendant leur vie séparée (arrêt 2C_602/2013 du 10 juin 2014 consid. 2.2 et 4.3 in fine). Ainsi, selon la jurisprudence, ne peuvent être comptabilisées une ou plusieurs périodes de vie commune de courte durée interrompues par de longues séparations lorsque le couple ne manifestait pas l'intention ferme de poursuivre son union conjugale (arrêts 2C_602/2013 du 10 juin 2014 consid. 2.2; 2C_231/2011 du 21 juillet 2011 consid. 4.6). b) En l'occurrence, la recourante a quitté le domicile conjugal pour s'installer à 2******** en août 2009, soit moins de trois ans après son mariage. Dans l'arrêt PE.2012.0375 rendu le 27 février 2013, la Cour de céans a constaté que la recourante et son époux disposaient de domiciles distincts depuis plus de trois années sans raisons majeures et sans qu'aucune reprise de la vie commune ne paraisse sérieusement envisagée. Aucun élément ne permettait en effet de penser que le couple ferait à nouveau ménage commun. Au contraire, les époux avaient passé, en décembre 2010, devant le juge civil une convention les autorisant à vivre séparés pour une durée indéterminée et ils semblaient satisfaits de cette situation, qui durait depuis plus de trois ans lorsque le tribunal a statué. Même si la recourante a regagné le domicile conjugal en avril 2013, soit deux mois après le prononcé de l'arrêt précité de la CDAP, et qu'elle y a vécu avec son époux jusqu'en janvier 2014, cette période ne saurait être additionnée à la première période de vie commune. Dans toute l’histoire de la relation entre la recourante et l’homme qu’elle a épousé, on ne voit pas de volonté sérieuse de maintenir durablement un mariage effectivement vécu. Au contraire, malgré les épisodes récents de cohabitation au même domicile, il n’y a pas de communauté conjugale stable. On se trouve donc dans la situation où, selon la jurisprudence fédérale précitée, les dernières périodes de vie commune ne peuvent pas être prises en compte. L'union conjugale entre la recourante et son époux ayant duré moins de trois ans, elle ne peut se voir octroyer une autorisation de séjour sur la base de l'art. 50 al. 1 let. a LEtr.</w:t>
      </w:r>
    </w:p>
    <w:p>
      <w:r>
        <w:rPr>
          <w:b/>
        </w:rPr>
        <w:t>E. 4</w:t>
      </w:r>
    </w:p>
    <w:p>
      <w:r>
        <w:t>La recourante fait valoir que, si sa demande devait être considérée comme une demande de réexamen, cette dernière devrait être admise car, lorsqu'elle est retournée vivre auprès de son époux au printemps 2013, elle a été victime de violences physiques et psychologiques, de sorte qu'elle a droit à une autorisation de séjour fondée sur l'art. 50 al. 1 let. b et al. 2 LEtr. a) Selon l'art. 64 al. 1 LPA-VD, une partie peut demander à l'autorité de réexaminer sa décision.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L'hypothèse prévue sous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Cette hypothèse ne concerne naturellement que les décisions aux effets durables, ce qui est le cas, comme en l'espèce, d'une décision réglementant le statut d'une personne au regard des règles de police des étrangers. Par ailleurs, les faits invoqués doivent être importants, c'est-à-dire de nature à entraîner une modification de l'état de fait à la base de la décision et, ainsi, une décision plus favorable au requérant; autrement dit, ils doivent être susceptibles d'influencer l'issue de la procédure (arrêt CDAP PE.2013.0086 du 3 juin 2014). . b) Selon l’art. 50 al. 1 let. b LEtr, le droit du conjoint à une autorisation de séjour et à sa prolongation subsiste également si la poursuite du séjour en Suisse s'impose pour des raisons personnelles majeures. D'après l'art. 50 al. 2 LEtr, les raisons personnelles majeures visées à l'al. 1 let. b de cette disposition sont notamment données lorsque le conjoint est victime de violence conjugale, que le mariage a été conclu en violation de la libre volonté d'un des époux ou que la réintégration sociale dans le pays de provenance semble fortement compromise. Cette disposition vise à régler les situations dans lesquelles, eu égard à l'ensemble des circonstances, l'étranger se trouve dans un cas de rigueur après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 137 II 345 consid. 3.2.1). Le Tribunal fédéral a mis en lumière un certain nombre de situations dans lesquelles la poursuite du séjour en Suisse peut s'imposer, parmi lesquelles figurent notamment celle où la réintégration dans le pays d'origine semble fortement compromise et les violences conjugales (ATF 138 II 393 consid. 3.1 ; 137 II 345 consid. 3.2.2; arrêt TF 2C_784/2013 du 11 février 2014 consid. 4.1).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138 II 229 consid. 3.2.1; 136 II 1 consid. 5.3); elle peut être de nature tant physique que psychique (arrêts TF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 ATF 138 II 229 consid. 3.2.1 et les références citées; arrêt TF 2C_784/2013 du 11 février 2014 consid. 4.1). L'étranger est soumis à un devoir de collaboration étendu dans l'établissement des faits, en particulier lorsqu’il se prévaut d’une situation de violence conjugale. Il doit établir, ou rendre fortement vraisemblable, l’intensité de cette violence; il doit fournir des indices tels que certificats médicaux, expertises psychiatriques, rapports de police, jugements pénaux, rapports et appréciation d'organismes spécialisés (cf. art. 77 al. 6 et 6bis de l'ordonnance fédérale du 24 octobre 2007 relative à l'admission, au séjour et à l'exercice d'une activité lucrative [OASA; RS 142.201])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 ATF 138 II 229 consid. 3.2.3; arrêts TF 2C_784/2013 du 11 février 2014 consid. 4.1; 2C_968/2012 du 22 mars 2013 consid. 3.2). c) En l'espèce, la recourante a fait constater le 31 janvier 2014 par une infirmière du CHUV de discrètes tuméfactions au niveau de la tête et du membre inférieur droit. Ces blessures résulteraient de la dispute avec son époux qui s'est produite le 17 janvier 2014 et lors de laquelle les gendarmes sont intervenus. Selon leur rapport du 20 janvier 2014 et les déclarations des deux époux, ces derniers se sont disputés pour des futilités et s'en sont pris physiquement l'un à l'autre, au moment d’un repas, chacun des deux protagonistes ayant eu une attitude active (renversant une assiette de soupe pour l’un, jetant de la soupe et de l’eau bouillante pour l’autre). Il s'agit dès lors d'une scène de ménage avec des actes de violence réciproque, qui ne saurait justifier l'application de l'art. 50 al. 1 let. b et al. 2 LEtr. La recourante s'est également rendue au Centre d'accueil Malley Prairie. Il ressort du rapport rédigé par la directrice de ce centre le 12 mars 2014 que la recourante s'est présentée le 29 janvier 2014 en indiquant subir, de la part de son époux des violences physiques (gifles), sexuelles (notamment attouchements sur ses parties intimes contre sa volonté), psychologiques (insultes raciales, dénigrement) et économiques. Même si, selon l'auteur du rapport, les propos de la recourante étaient cohérents et crédibles et son état correspondait aux faits rapportés, on doit constater que seules les déclarations de la recourante sont reproduites, sans qu’il soit fait état de preuves ni de conséquences tangibles des violences alléguées. La recourante n'a en particulier pas produit de certificat du psychologue qu'elle aurait consulté ni de certificat médical relatif à son tentamen. En outre, à supposer que l’attitude et les gestes répréhensibles dénoncés puissent effectivement être imputés à l’époux, on ne pourrait pas pour autant y voir des raisons personnelles majeures permettant d'octroyer à la recourante une autorisation à titre exceptionnel sur la base de l'art. 50 al. 1 let. b et al. 2 LEtr, le degré d'intensité des conséquences pour la vie privée et familiale exigé par cette disposition n'étant pas atteint (cf. ATF 137 II 345 consid. 3). Faute d'éléments nouveaux déterminants, c'est à juste titre que l’autorité intimée n'est pas entrée en matière sur la demande de réexamen, subsidiairement l'a rejetée.</w:t>
      </w:r>
    </w:p>
    <w:p>
      <w:r>
        <w:rPr>
          <w:b/>
        </w:rPr>
        <w:t>E. 5</w:t>
      </w:r>
    </w:p>
    <w:p>
      <w:r>
        <w:t>La recourante ayant été mise au bénéfice de l’ assistance judiciaire, les frais de justice doivent être arrêtés, et une équitable indemnité au conseil juridique désigné d’office pour la procédure, doit être fixée ; les frais et l’indemnité seront supportés par le canton, provisoirement (art. 122 al.1 let. a et b du code de procédure civile du 19 décembre 2008 [CPC ; RS 272], applicable par renvoi de l’art. 18 al. 5 LPA-VD). En effet, la partie qui a obtenu l’ 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 assistance judiciaire en matière civile [RAJ; RSV 211.02.3]) -, elle comprend le montant de 1'962 francs 90 (dont 145 francs 40 de TVA) à titre d'honoraires et celui de 63 francs 95 (dont 4 francs 75 de TVA) à titre de débours, ce qui représente un total de 2'026 francs 85, TVA comprise, conformément à ce qui ressort de la liste des opérations produite par le conseil d'office.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