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PE.2014.0373 vom 9. Februar 2015</w:t>
      </w:r>
    </w:p>
    <w:p>
      <w:r>
        <w:t>VD Tribunal cantonal, 2015-02-09, FR</w:t>
      </w:r>
    </w:p>
    <w:p>
      <w:r>
        <w:rPr>
          <w:b/>
        </w:rPr>
        <w:t xml:space="preserve">Quelle: </w:t>
      </w:r>
      <w:r>
        <w:t>https://mcp.opencaselaw.ch/entscheid/vd_omni_PE.2014.0373</w:t>
      </w:r>
    </w:p>
    <w:p>
      <w:r>
        <w:t>FR: VD_OMNI PE.2014.0373 du 9 février 2015</w:t>
      </w:r>
    </w:p>
    <w:p>
      <w:r>
        <w:t>IT: VD_OMNI PE.2014.0373 del 9 febbraio 2015</w:t>
      </w:r>
    </w:p>
    <w:p>
      <w:pPr>
        <w:pStyle w:val="Heading2"/>
      </w:pPr>
      <w:r>
        <w:t>Regeste</w:t>
      </w:r>
    </w:p>
    <w:p>
      <w:r>
        <w:t>A. X.________/Service de la population (SPOP) | Le Service de l'emploi a rejeté la demande de prise d'emploi présentée par la recourante, resortissante roumaine. Le SPOP était lié par cette décision entrée en force; le refus de l'autorisation de séjour était dès lors fondé. Rejet du recours formé contre la décision du SPOP.</w:t>
      </w:r>
    </w:p>
    <w:p>
      <w:pPr>
        <w:pStyle w:val="Heading2"/>
      </w:pPr>
      <w:r>
        <w:t>Erwägungen</w:t>
      </w:r>
    </w:p>
    <w:p>
      <w:r>
        <w:rPr>
          <w:b/>
        </w:rPr>
        <w:t>E. 1</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b) Il suit de là que la recourante, de nationalité roumaine, ne peut se prévaloir des dispositions de l’ALCP. La demande d’autorisation de séjour s’examine ainsi uniquement au regard du droit interne, soit la loi fédérale du 16 décembre 2005 sur les étrangers (LEtr; RS 142.20) et ses dispositions d’exécution (cf., en dernier lieu, arrêt PE.2014.0214 du 10 septembre 2014).</w:t>
      </w:r>
    </w:p>
    <w:p>
      <w:r>
        <w:rPr>
          <w:b/>
        </w:rPr>
        <w:t>E. 2</w:t>
      </w:r>
    </w:p>
    <w:p>
      <w:r>
        <w:t>a) Lorsqu'un étranger ne possède pas de droit à l'exercice d'une activité lucrative, une décision cantonale préalable concernant le marché du travail est nécessaire pour l'admettre en vue de l'exercice d'une telle activité (art. 40 al. 2 LEtr).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b)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SE en l'occurrence ( cf. art. 64 al. 1 let. a de la loi sur l'emploi du 5 juillet 2005 [ LEmp, RSV 822.11 ] ) - décide si l'activité d'un étranger est considérée comme une activité lucrative au sens de l'art. 11 al. 2 LEtr et, en cas de doute, il soumet le cas, pour décision, à l'Office fédéral des migrations (ODM; cf. art.</w:t>
      </w:r>
    </w:p>
    <w:p>
      <w:r>
        <w:rPr>
          <w:b/>
        </w:rPr>
        <w:t>E. 4</w:t>
      </w:r>
    </w:p>
    <w:p>
      <w:r>
        <w:t>Toute l’argumentation développée par la recourante, ayant trait à ses qualifications, ses compétences linguistiques et techniques, en lien avec le travail proposé par Y.________, est dirigée contre le raisonnement retenu par le SE dans sa décision du 7 février 2014. Celle-ci étant entrée en force, la recourante est forclose sur ce point.</w:t>
      </w:r>
    </w:p>
    <w:p>
      <w:r>
        <w:rPr>
          <w:b/>
        </w:rPr>
        <w:t>E. 5</w:t>
      </w:r>
    </w:p>
    <w:p>
      <w:r>
        <w:t>La recourante demande la tenue d’une audience avec l’audition de témoins. a) La procédure est en principe écrite (art. 27 al. 1 LPA-VD). Le Tribunal cantonal a toutefois la faculté de tenir une audience et ordonner des débats, y compris l’audition des parties et l’audition de témoins (art. 29 al. 1 let. a et f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130 II 425 consid. 2.1 p. 429, et les arrêts cités). b) La recourante étant forclose sur l’essentiel de son argumentation, il n’est pas nécessaire de l’entendre personnellement. On ne voit pas davantage ce que les témoignages pourraient apporter à l’examen de la cause. Dans le cadre d’une appréciation anticipée des moyens de preuve, la demande d’audience et d’audition de témoins doit être rejetée.</w:t>
      </w:r>
    </w:p>
    <w:p>
      <w:r>
        <w:rPr>
          <w:b/>
        </w:rPr>
        <w:t>E. 6</w:t>
      </w:r>
    </w:p>
    <w:p>
      <w:r>
        <w:t>Le recours est ainsi rejeté et la décision attaquée, confirmée. Les frais sont mis à la charge de la recourante;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