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PE.2014.0359 vom 13. April 2015</w:t>
      </w:r>
    </w:p>
    <w:p>
      <w:r>
        <w:t>VD Tribunal cantonal, 2015-04-13, FR</w:t>
      </w:r>
    </w:p>
    <w:p>
      <w:r>
        <w:rPr>
          <w:b/>
        </w:rPr>
        <w:t xml:space="preserve">Quelle: </w:t>
      </w:r>
      <w:r>
        <w:t>https://mcp.opencaselaw.ch/entscheid/vd_omni_PE.2014.0359</w:t>
      </w:r>
    </w:p>
    <w:p>
      <w:r>
        <w:t>FR: VD_OMNI PE.2014.0359 du 13 avril 2015</w:t>
      </w:r>
    </w:p>
    <w:p>
      <w:r>
        <w:t>IT: VD_OMNI PE.2014.0359 del 13 aprile 2015</w:t>
      </w:r>
    </w:p>
    <w:p>
      <w:pPr>
        <w:pStyle w:val="Heading2"/>
      </w:pPr>
      <w:r>
        <w:t>Regeste</w:t>
      </w:r>
    </w:p>
    <w:p>
      <w:r>
        <w:t>X.________, Y.________/Service de la population (SPOP) | Recourante brésilienne dont l'autorisation de séjour a été révoquée après sa séparation de son époux suisse. Elle expose avoir rencontré un nouvel ami durant l'été 2013, avoir noué une relation sentimentale quelques mois après et vivre avec lui depuis le début de l'année 2014. La durée de leur relation est ainsi inférieure à dix-huit mois. En outre, le divorce de la recourante n'a pas encore été prononcé, ce qui signifie qu'aucune procédure de mariage avec son nouvel ami ne peut être engagée. Aucun élément du dossier n'indique non plus que le mariage soit sérieusement voulu par le nouvel ami. Au vu de ces circonstances, la recourante ne remplit pas les critères jurisprudentiels pour pouvoir prétendre à une autorisation de séjour. Rejet du recours.</w:t>
      </w:r>
    </w:p>
    <w:p>
      <w:pPr>
        <w:pStyle w:val="Heading2"/>
      </w:pPr>
      <w:r>
        <w:t>Erwägungen</w:t>
      </w:r>
    </w:p>
    <w:p>
      <w:r>
        <w:rPr>
          <w:b/>
        </w:rPr>
        <w:t>E. 1</w:t>
      </w:r>
    </w:p>
    <w:p>
      <w:r>
        <w:t>Dans le mémoire complémentaire, la recourante et sa fille ont réclamé la tenue d’une audience. a) Le droit d'être entendu, tel qu'il est garanti par l'art. 29 al. 2 de la Constitution fédérale de la Confédération suisse du 18 avril 1999 (Cst.; RS 101), comprend notamment le droit pour l'intéressé d'obtenir qu'il soit donné suite à ses offres de preuves pertinentes ( ATF 135 I 279 consid. 2.3 p. 282;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137 III 208 consid. 2.2 p. 210; 130 II 425 consid. 2.1 p. 428 s. et les arrêts cités; 122 V 157 consid. 1d p. 162). b) En l'occurrence, le tribunal s'estime suffisamment renseigné sur la base du dossier pour juger cette affaire en toute connaissance de cause; il ne voit pas quels éléments, qui n'auraient pu être exposés par écrit ou ne figureraient pas déjà dans les pièces du dossier, pourraient apporter l'audition des recourantes. Cela étant, il n'y a pas lieu de donner suite aux réquisitions de la recourante dans ce sens.</w:t>
      </w:r>
    </w:p>
    <w:p>
      <w:r>
        <w:rPr>
          <w:b/>
        </w:rPr>
        <w:t>E. 2</w:t>
      </w:r>
    </w:p>
    <w:p>
      <w:r>
        <w:t>La recourante invoque un droit à la prolongation de son autorisation de séjour en se fondant sur l'art. 50 al. 1 let. b LEtr. a) Selon l'art. 50 al. 1 let. b LEtr, le droit du conjoint à l'octroi d'une autorisation de séjour et à sa prolongation subsiste après la dissolution de la famille lorsque la poursuite du séjour en Suisse s'impose pour des raisons personnelles majeures. L'art. 50 LEtr précise à son al. 2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L'art. 77 al. 2 de l'ordonnance fédérale du 24 octobre 2007 relative à l'admission, au séjour et à l'exercice d'une activité lucrative (OASA; RS 142.201) a une teneur identique.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traduit et résumé in RDAF 2012 I 519 ; TF 2C_196/2014 du 19 mai 2014 consid. 4.1; 2C_784/2013 du 11 février 2014 consid. 4.1). 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229 consid. 3.2.1 p. 233; 136 II 1 consid. 5.3 p. 4); elle peut être de nature tant physique que psychique (TF 2C_784/2013 du 11 février 2014 consid. 4.1, et les références citées). La maltraitance doit en principe revêtir un caractère systématique ayant pour but d'exercer pouvoir et contrôle sur la victime. Une gifle unique ou des insultes échangées au cours d'une dispute dont l'intensité augmente ne suffisent pas. (ATF 138 II 229 consid. 3.2.1 et 3.2.2 p. 232 ss et les références citées, traduit et résumé in RDAF 2013 I 532, spéc. 533). L'étranger est soumis à un devoir de collaboration étendu dans l'établissement des faits en lien avec sa vie personnelle, en l'espèce de la violence conjugale et de son intensité; il doit fournir des indices tels que certificats médicaux, expertises psychiatriques, rapports de police, jugements pénaux (cf. art. 77 al. 6 OASA), rapports et appréciation d'organismes spécialisés ou encore déclarations crédibles de témoins. Il ne peut pas se contenter de simples allégations ou du renvoi à des tensions ponctuelles (TF 2C_196/2014 du 19 mai 2014 consid. 3.2; 2C_784/2013 du 11 février 2014 consid. 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 ATF 138 II 229 consid. 3.2.3 p. 235). Concernant la question de la réintégration sociale dans le pays de provenance, la loi implique qu'elle semble fortement compromise;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TF 2C_289/2012 du 12 juillet 2012 consid. 4.2.4; 2C_759/2010 du 28 janvier 2011 consid. 5.2.1; 2C_594/2010 du 24 novembre 2010 consid. 3.2 et les références citées). De manière générale, l'art. 50 al. 1 let. b et al. 2 LEtr n'a pas pour but de garantir aux étrangers la situation la plus avantageuse pour eux mais, uniquement, de parer à des situations de rigueur (TF 2C_689/2012 du 5 février 2013 consid. 3.3; 2C_307/2012 du 26 juillet 2012 consid. 4.2 et les références citées). b) La recourante se prévaut des violences conjugales dont elle aurait été victime et qui, selon elle, constitueraient la cause de la rupture de la vie commune avec son époux . Le point déterminant à cet égard est de savoir si, au regard des actes de violence de son conjoint, l'on pouvait exiger de la recourante qu'elle poursuive l'union conjugale, ou si cela était de nature à mettre en péril sa santé physique ou psychique. En l’espèce, la recourante n'a pas produit de certificats médicaux, d'expertises psychiatriques ni de rapports d'organismes spécialisés et n'a pas non plus invoqué avoir dû consulter un médecin ou avoir eu besoin de soins particuliers. Elle n'a pas non plus produit de rapports de police ni de jugements pénaux qui permettraient d'attester le fait qu'elle aurait subi des violences conjugales. Elle ne prétend en particulier pas avoir dû faire appel à la police ou avoir déposé plainte à l'encontre de son mari. Le seul acte de violence physique mentionné par la recourante dans le cas d’espèce est celui du 19 juin 2013, au cours duquel son époux lui aurait donné un coup de pied, selon son appréciation à elle, ou aurait tendu la jambe, ce qui l’aurait malencontreusement fait trébucher, selon son appréciation à lui. Il est douteux que cet événement isolé, qui est d’ailleurs contesté par l’époux, soit suffisant pour que l’on retienne in casu que la recourante a fait l’objet d’une violence conjugale revêtant une certaine intensité, au point de ne pouvoir exiger de sa part qu’elle poursuive la vie commune. En outre, la recourante a varié dans ses déclarations. Elle a ainsi indiqué elle-même au policier venu l’entendre le 12 décembre 2013 que son mari était agressif verbalement, mais pas violent. Elle n’a invoqué des problèmes de violence physique que dès le moment où le SPOP l’a avertie de son intention de révoquer son autorisation de séjour. Cela étant, la violence verbale doit aussi être prise en considération et peut aussi être constitutive de maltraitance grave. Dans le cas d’espèce, cependant, les explications de la recourante doivent être appréciées avec une certaine prudence; selon les déclarations de son mari, il semblerait en effet que celle-ci n’ait pas véritablement eu l’intention de fonder une communauté conjugale et aurait totalement changé de comportement dès lors que son droit de séjour aurait été garanti, ce qui pourrait avoir contribué à la faillite de l’union conjugale. L’époux de la recourante conteste en particulier les reproches qui lui sont fait sur le plan de ses exigences sexuelles et des insultes qu’il aurait adressées à son épouse. Il reproche aussi à la recourante sa froideur ainsi que son attitude humiliante et rabaissante à son égard. On gardera à l’esprit du reste que c’est à la demande de l’époux, et non de la recourante, que les mesures protectrices de l’union conjugale ont été prononcées. Il paraît ainsi douteux que la recourante ait réellement eu peur pour sa sécurité et celle de sa fille, comme elle l’invoque dans ses écritures. Au vu de ces divers éléments, il faut considérer que la recourante n’a pas prouvé avoir été victime de victime de violence conjugale au sens de l’art. 50 al. 2 LEtr. La recourante, âgée de 44 ans, a vécu au Brésil jusqu'à l'âge de 41 ans, où elle a sa famille. On peut donc présumer que l'intéressée conserve des attaches familiales, culturelles et sociales dans son pays d'origine, où elle a vécu jusqu'à la maturité de l'âge adulte. Elle a d’ailleurs durant un certain temps eu le projet de repartir avec sa fille au Brésil où disait-elle " B.X.-Z________ et moi avons un avenir rempli de joie et de bonheur qui nous attend " (courrier à son époux du 19 mai 2014). Dans ce même courrier, elle précisait être en contact avec sa famille pour préparer son retour au Brésil. Sur le plan de l’intégration, la recourante n’est pas sous le coup de poursuites et elle a travaillé durant un certain temps, en étant appréciée de son employeur. De plus, elle parle bien le français. Le policier qui l’a interrogée le 12 décembre 2013 a relevé qu’elle " dégage une certaine adaptation à nos us et coutumes ". Ces éléments ne sont toutefois pas si exceptionnels qu'ils feraient apparaître disproportionné son retour au Brésil. Au regard de l’ensemble de la situation, il n'apparaît pas que la réintégration dans son pays d'origine serait fortement compromise . La situation de l'intéressée ne doit toutefois pas être considérée isolément, mais en relation avec le contexte familial global. La situation de sa fille doit dès lors être prise également en considération afin de procéder à une appréciation d'ensembl e (cf. PE.2012.0410 du 28 juin 2013). Selon la jurisprudence rendue sous l’empire de l’art. 13 let. f de l’ancienne ordonnance fédérale du 6 octobre 1986 limitant le nombre des étrangers (OLE), applicable par analogie (arrêt PE.2009.0657 du 28 avril 2010 consid. 6c/bb), le retour forcé peut constituer pour un enfant qui est déjà scolarisé et qui a dès lors commencé à s'intégrer de manière autonome dans la réalité quotidienne suisse un véritable déracinement, mais tel n'est pas forcément toujours le cas. Il y a lieu de tenir compte, en particulier, de l’âge de l’enfant, des efforts consentis, du degré de réussite de la scolarisation ainsi que des différences socio-économiques existant entre la Suisse et le pays où l’enfant sera renvoyé.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d’extrême gravité; encore faut-il cependant que la scolarité ait revêtu, dans le cas de l’intéressé, une certaine durée, ait atteint un certain niveau et se soit soldée par un résultat positif. Le cas de rigueur n’a pas été admis, compte tenu de toutes les circonstances, pour une famille qui comptait notamment deux adolescents de seize et de quatorze ans arrivés en Suisse, respectivement à treize et dix ans, et qui fréquentaient des classes d’accueil et de développement. En revanche, le Tribunal fédéral a admis l’exemption des mesure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de son pays d’origine (ATF 123 II 125 précité citant l’arrêt non publié Songur du 28 novembre 1995 consid. 4c, 5d et 5e).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(ATF 123 II 125 précité citant l’arrêt Tekle du 21 novembre 1995). La CDAP a également à diverses reprises considéré que le cas de rigueur était réalisé en présence d’adolescents scolarisés et bien intégrés en Suisse (arrêts PE.2009.0609 du 2 décembre 2010, PE.2010.0026 du 24 septembre 2010, PE.2008.0342 du 18 mars 2009). Elle a par contre considéré que le fait que le fils d’un recourant, âgé de 11 ans, ait accompli deux années de scolarité obligatoire en Suisse n'était pas suffisant à cet égard, un retour en France, où le recourant disposait d'un titre de séjour valable jusqu'en 2018, ne paraissant pas devoir poser de problème particulier (PE.2013.0128 du 29 août 2013). En l’occurrence, la fille de la recourante est arrivée en Suisse en octobre 2011, à l’âge de 11 ans. Elle vivait ainsi depuis près de trois ans en Suisse au moment où la décision attaquée a été rendue et y a passé les années du début de l’adolescence, années considérées comme importantes dans le développement de la personnalité. Son intégration à l’école semble bonne sur le plan du comportement comme en témoigne la photocopie de son livret scolaire pour la semaine du 6 au 10 octobre 2014 qui porte l’annotation " B.X.-Z________ est une élève appliquée et qui a un bon comportement ! Bravo ! ". La même page de l’agenda indique cependant aussi qu’elle a obtenu une note 4 pour un travail de français et quatre fois la note 3 pour des travaux de maths, anglais, allemand et sciences. L’intégration scolaire n’apparaît ainsi pas exceptionnelle. En outre, la fille de la recourante devrait quitter la Suisse pour un pays dans lequel elle a déjà passé toute son enfance et dont la culture n’est pas fondamentalement différente de la nôtre. Elle repartirait avec sa mère et retrouverait sa famille, avec laquelle sa mère a toujours gardé des contacts. Dans ces circonstances, il y a lieu de retenir que la situation actuelle de la famille de la recourante ne constitue pas un cas individuel d'extrême gravité, sous l'angle de la scolarisation de sa fille et de la réintégration de celle-ci au Brésil. Au vu de ce qui précède, il n'existe pas de raisons personnelles majeures qui permettraient à la recourante d'obtenir la prolongation de son autorisation de séjour sur la base de l'art. 50 al. 1 let. b LEtr.</w:t>
      </w:r>
    </w:p>
    <w:p>
      <w:r>
        <w:rPr>
          <w:b/>
        </w:rPr>
        <w:t>E. 3</w:t>
      </w:r>
    </w:p>
    <w:p>
      <w:r>
        <w:t>a) Selon la jurisprudence, un étranger peut, selon les circonstances, se prévaloir de l'art. 8 par. 1 de la Convention du 4 novembre 1950 de sauvegarde des droits de l’homme et des libertés fondamentales (CEDH; RS 0.101) pour s'opposer à l'éventuelle séparation de sa famille et obtenir ainsi une autorisation de séjour. Encore faut-il, pour pouvoir invoquer la protection familiale découlant de cette disposition, qu'il entretienne une relation étroite et effective (cf. ATF 131 II 265 consid. 5 p. 269 s.) avec une personne de sa famille ayant le droit de résider durablement en Suisse. Les relations familiales protégées par l'art. 8 par. 1 CEDH sont avant tout les rapports entre époux ainsi qu'entre parents et enfants mineurs vivant ensemble (cf. ATF 127 II 60 consid. 1d/aa p. 64 s., traduit et résumé in RDAF 2002 I 390).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2C_1035/2012 du 21 décembre 2012 consid. 5.1, 2C_207/2012 du 31 mai 2012 consid. 3.3, 2C_206/2010 du 23 août 2010 consid. 2.1).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et les références, 2C_97/2010 du 4 novembre 2010 consid. 3.1 et 3.2). Le Tribunal fédéral a jugé qu’une cohabitation d’une année et demie n’avait pas duré suffisamment longtemps pour que l’intéressée puisse bénéficier du droit au regroupement familial tiré de l'art. 8 CEDH (cf. TF 2C_913/2010 du 30 novembre 2010; TF 2C_300/2008 du 17 juin 2008). L’existence d’un concubinage stable n’a également pas été retenue dans le cas d’un couple vivant ensemble depuis trois ans, en l'absence de projet de mariage et d'enfant (TF 2C_97/2010 du 4 novembre 2010 consid. 3). Le Tribunal fédéral a en revanche retenu, s'agissant d'une relation ayant duré plus de deux ans et en présence d'un enfant commun, " l'existence d'une famille "naturelle" bénéficiant de la protection de l'art. 8 CEDH " (TF 2C_661/2010 du 31 janvier 2011 consid. 3). b) L'art. 30 al. 1 let. b LEtr prévoit qu'il est possible de déroger aux conditions d'admission (art. 18 à 29 LEtr), notamment pour tenir compte des cas individuels d'une extrême gravité ou d'intérêts publics majeurs. Les Directives de l'ancien Office fédéral des migrations (ODM, devenu le 1 er janvier 2015 le Secrétariat d'Etat aux migrations, SEM) " I. Domaine des étrangers ", dans leur version au 4 juillet 2014, précisent les conditions dans lesquelles une telle dérogation peut être accordée dans le cas d'un couple concubin sans enfant (5.6.2.2.1): " Le partenaire d’un citoyen suisse, d’un étranger titulaire d’une autorisation d’établissement ou d’une personne au bénéfice d’une autorisation de séjour à l’année (titre de séjour C ou B) peut obtenir une autorisation de séjour en application de l’art. 30, let. b, LEtr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 Ces directives reprennent donc les critères de la jurisprudence précitée. c) En l'occurrence, la recourante expose avoir rencontré un nouvel ami durant l’été 2013 et avoir noué une relation sentimentale quelques mois après, soit en novembre 2013. Elle indique vivre avec lui depuis le début de l’année 2014. La durée de leur relation est ainsi inférieure à dix-huit mois. En outre, le divorce de la recourante n’a pas encore été prononcé, ce qui signifie qu’aucune procédure de mariage avec son nouvel ami ne peut être engagée. Aucun élément du dossier n’indique non plus que le mariage soit sérieusement voulu par le nouvel ami de la recourante. Au vu de ces circonstances, la recourante ne remplit pas les critères jurisprudentiels exposés ci-dessus pour pouvoir prétendre à une autorisation de séjour, que ce soit sur la base de l'art. 8 CEDH ou de l'art. 30 LEtr. C'est donc à juste titre que l'autorité intimée a refusé de délivrer une autorisation de séjour à la recourante.</w:t>
      </w:r>
    </w:p>
    <w:p>
      <w:r>
        <w:rPr>
          <w:b/>
        </w:rPr>
        <w:t>E. 4</w:t>
      </w:r>
    </w:p>
    <w:p>
      <w:r>
        <w:t>Il résulte de ce qui précède que le recours doit être rejeté et la décision attaquée, confirmée. Succombant, la recourante et sa fille supportent les frais de justice et n'ont pas droit à des dépens (art. 49, 55, 91 et 99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