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PE.2014.0336 vom 17. Februar 2015</w:t>
      </w:r>
    </w:p>
    <w:p>
      <w:r>
        <w:t>VD Tribunal cantonal, 2015-02-17, FR</w:t>
      </w:r>
    </w:p>
    <w:p>
      <w:r>
        <w:rPr>
          <w:b/>
        </w:rPr>
        <w:t xml:space="preserve">Quelle: </w:t>
      </w:r>
      <w:r>
        <w:t>https://mcp.opencaselaw.ch/entscheid/vd_omni_PE.2014.0336</w:t>
      </w:r>
    </w:p>
    <w:p>
      <w:r>
        <w:t>FR: VD_OMNI PE.2014.0336 du 17 février 2015</w:t>
      </w:r>
    </w:p>
    <w:p>
      <w:r>
        <w:t>IT: VD_OMNI PE.2014.0336 del 17 febbraio 2015</w:t>
      </w:r>
    </w:p>
    <w:p>
      <w:pPr>
        <w:pStyle w:val="Heading2"/>
      </w:pPr>
      <w:r>
        <w:t>Regeste</w:t>
      </w:r>
    </w:p>
    <w:p>
      <w:r>
        <w:t>A.X________/Service de la population (SPOP) | Confirmation du refus de délivrer une autorisation de séjour à une adolescente kosovare âgée de seize ans au moment de la demande de regroupement familial partiel différé, dont le père est décédé et dont la mère, remariée, vit en Suisse depuis 2007. Déposée après le 31 août 2010, la demande est tardive et contrairement aux explications figurant dans le recours, la mère disposait de la faculté de faire venir sa fille avant cette dernière date. L'état de santé des grands-parents paternels, qui s'occupaient jusqu'alors de la recourante, ne s'est pas péjoré et il n’est pas exclu que des motifs d’ordre exclusivement économique soient à l’origine de cette demande. C’est en vain que l’on cherche des raisons familiales majeures justifiant que la recourante puisse rejoindre sa mère et son beau-père en Suisse.</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kosovar de Serbie, la recourante ne peut invoquer aucun traité en sa faveur; le recours s'examine ainsi uniquement au regard du droit interne, soit la loi fédérale du 16 décembre 2005 sur les étrangers (LEtr; RS 142.20).</w:t>
      </w:r>
    </w:p>
    <w:p>
      <w:r>
        <w:rPr>
          <w:b/>
        </w:rPr>
        <w:t>E. 3</w:t>
      </w:r>
    </w:p>
    <w:p>
      <w:r>
        <w:t>La recourante se prévaut en l’espèce des droits que lui conférerait l’art. 43 al. 1 LEtr, à teneur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Cette disposition pose le principe du regroupement familial. Aux termes de l'art. 47 al. 1 LEtr,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 OASA; RS 142.201).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exigeaient que l'enfant vive auprès de "ses parents" (ATF 136 II 78, consid. 4.7, p. 85). Selon la jurisprudence, le moment déterminant du point de vue de l'âge comme condition du droit au regroupement familial en faveur d'un enfant correspond à celui du dépôt de la demande (ATF 136 II 497 consid. 3.4 et 3.7; cf. en outre Directives "Domaine des étrangers", édictées par le Secrétariat d’Etat aux migrations [SDM], état au 4 juillet 2014, ch. 6.10.1, p. 250).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(ibid., consid. 4.8 p. 87). Les principes jurisprudentiels développés en la matière sous l'ancien droit en matière de regroupement familial partiel subsistent lorsque le regroupement familial est demandé pour des raisons familiales majeures (cf. directives précitées ch. 6.10.4 p. 252 s.; cf. également ATF 137 I 284 consid. 2.3.1, 136 II 78 consid. 4.7; ATF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2C_709/2010 du 25 février 2011 consid. 5.1.2; 2A.92/1998 du 29 octobre 1998). Le regroupement familial ne saurait être motivé principalement par des arguments économiques (notamment meilleures perspectives professionnelles et sociales en Suisse) ou par la situation politique dans le pays d'origine.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 Il ressort notamment des Directives du SDM que, dans l'intérêt d'une bonne intégration, il ne sera fait usage de l'art. 47 al. 4 LEtr qu'avec retenue (cf. ch. 6.10.4, p. 252).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La jurisprudence ne pose aucune règle rigide en la matière, mais invite au contraire, dans la ligne de la pratique de la CourEDH,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(ATF 133 II 6 consid. 5.5 pp. 22/23, références citées)..</w:t>
      </w:r>
    </w:p>
    <w:p>
      <w:r>
        <w:rPr>
          <w:b/>
        </w:rPr>
        <w:t>E. 4</w:t>
      </w:r>
    </w:p>
    <w:p>
      <w:r>
        <w:t>Les considérations qui précèdent conduisent le Tribunal à faire plusieurs constatations dans le cas d’espèce, qui le conduisent à confirmer le rejet de la demande de regroupement familial en faveur de la recourante. a) Il s’avère en premier lieu que la demande de regroupement est tardive, ce que la recourante ne conteste du reste pas. En effet, l'art. 126 al. 3 LEtr s’applique en l’occurrence, de sorte que le délai de douze mois prévu à l'art. 47 al. 1 LEtr, pour que les enfants âgés de plus de douze ans requièrent le regroupement familial, est arrivé à échéance le 31 août 2010, sans avoir été utilisé. Dès lors, seules des raisons familiales majeures au sens où l’entend l’art. 47 al. 4 LEtr peuvent désormais être invoquées à l’appui de la demande de la recourante. b) La recourante invoque tout d’abord un changement de circonstances à l’appui de sa demande; elle fait valoir que ses grands-parents paternels ne seraient plus en mesure de s’occuper d’elle en raison de leur mauvaise santé et que son oncle paternel, qui doit s’occuper de sa propre famille, ne peut prendre soin d’elle. Il ressort des certificats médicaux produits que D.X.________, âgé de soixante-trois ans, souffrirait d’une angine de poitrine et H.X.________, âgée de soixante-deux ans, de diabète. L’on ne retire toutefois pas que ces derniers, dont l’état de santé n’est guère différent de certaines personnes âgées de plus de soixante ans, ne seraient plus en état de s’occuper durablement de leur petite fille, que ce soit d’un point de vue physique ou psychique. Les rapports médicaux produits appellent la plus grande prudence à cet égard. Quoi qu’il en soit, l’on ne saurait dire que la recourante serait en quelque sorte abandonnée à elle-même en raison de la mauvaise santé de ses grands-parents; rien de tel n’est d’ailleurs allégué. Du reste, on gardera à l’esprit que la recourante était âgée de seize ans et demi au moment de la demande, soit un âge où elle a commencé à développer sa propre autonomie. Dès lors, cette circonstance troublante fait sérieusement douter des réelles motivations de cette demande, puisque c’est seulement au terme de sa scolarité obligatoire que la recourante a saisi l’autorité d’une demande de regroupement. La recourante évoque sans doute sur ce point les traditions qui, au Kosovo, imposeraient à la famille du père d’éduquer et de prendre soin d’un enfant; il n’en demeure pas moins que sa mère était, depuis le décès de C.X.________, son unique tutrice, ce que les documents produits démontrent. Contrairement aux explications figurant dans le recours, B.Z.________ disposait ainsi de la faculté de faire venir sa fille avant le 31 août 2010. Il n’est dès lors pas exclu que des motifs d’ordre exclusivement économique soient à l’origine de la demande de regroupement tardive. Quoi qu’il en soit, c’est en vain que l’on cherche des raisons familiales majeures justifiant que la recourante puisse rejoindre sa mère et son beau-père en Suisse. c) A cela s’ajoute que l’on peut très sérieusement se demander si, en l’occurrence, l'objectif principal de la demande consiste non pas à regrouper la famille comme la recourante le soutient, mais bien plutôt à donner à celle-ci l'opportunité de suivre une formation en Suisse et lui assurer un meilleur avenir professionnel. La recourante elle-même l’évoque, puisqu’elle fait valoir qu’en raison de l’éloignement, ses grands-parents ne lui permettront probablement pas de se rendre à 2******** pour y suivre les cours de l’Université. On constate sur ce point que l’intéressée a vécu de façon ininterrompue au Kosovo depuis sa naissance. Elle n’est jamais venue en Suisse et ne parle que l’albanais. Pour une adolescente qui n’a connu que son pays, dans lequel elle est bien intégrée, a normalement évolué et où vit encore sa famille paternelle, cet éloignement soudain pourrait se révéler source d’un déracinement traumatisant et, partant, conduire à de réelles difficultés d’intégration.</w:t>
      </w:r>
    </w:p>
    <w:p>
      <w:r>
        <w:rPr>
          <w:b/>
        </w:rPr>
        <w:t>E. 5</w:t>
      </w:r>
    </w:p>
    <w:p>
      <w:r>
        <w:t>Les considérants qui précèdent conduisent ainsi au rejet du recours et à la confirmation de la décision attaquée. Vu le sort du recours, un émolument judiciaire doit être mis à la charge de la recourante, celle-ci succombant (art. 48, 49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