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PE.2014.0331 vom 17. August 2015</w:t>
      </w:r>
    </w:p>
    <w:p>
      <w:r>
        <w:t>VD Tribunal cantonal, 2015-08-17, FR</w:t>
      </w:r>
    </w:p>
    <w:p>
      <w:r>
        <w:rPr>
          <w:b/>
        </w:rPr>
        <w:t xml:space="preserve">Quelle: </w:t>
      </w:r>
      <w:r>
        <w:t>https://mcp.opencaselaw.ch/entscheid/vd_omni_PE.2014.0331</w:t>
      </w:r>
    </w:p>
    <w:p>
      <w:r>
        <w:t>FR: VD_OMNI PE.2014.0331 du 17 août 2015</w:t>
      </w:r>
    </w:p>
    <w:p>
      <w:r>
        <w:t>IT: VD_OMNI PE.2014.0331 del 17 agosto 2015</w:t>
      </w:r>
    </w:p>
    <w:p>
      <w:pPr>
        <w:pStyle w:val="Heading2"/>
      </w:pPr>
      <w:r>
        <w:t>Regeste</w:t>
      </w:r>
    </w:p>
    <w:p>
      <w:r>
        <w:t>X.________/Service de la population (SPOP), Service de l'emploi Contrôle du marché du travail et | Refus, confirmé par la CDAP, d'une demande de main d'oeuvre étrangère déposée en faveur d'une ressortissante arménienne engagée comme enseignante de chant, l'école de musique n'ayant pas démontré avoir déployé des efforts suffisants pour trouver un travailleur sur le marché indigène. L'annonce publiée sur internet semble avoir été rédigée en fonction du profil de la jeune femme. Par ailleurs, on ne se trouve pas dans une situation où seule une personne hautement qualifiée pourrait occuper le poste proposé. Rejet du grief de violation du droit d'être entendu, la décision attaquée étant suffisamment motivée.</w:t>
      </w:r>
    </w:p>
    <w:p>
      <w:pPr>
        <w:pStyle w:val="Heading2"/>
      </w:pPr>
      <w:r>
        <w:t>Erwägungen</w:t>
      </w:r>
    </w:p>
    <w:p>
      <w:r>
        <w:rPr>
          <w:b/>
        </w:rPr>
        <w:t>E. 1</w:t>
      </w:r>
    </w:p>
    <w:p>
      <w:r>
        <w:t>Déposés dans le délai de trente jours fixé par l’art. 95 de la loi vaudoise du 28 octobre 2008 sur la procédure administrative (LPA-VD; RSV 173.36), les deux recours sont intervenus en temps utile et respectent au surplus les conditions formelles énoncées à l’art. 79 LPA-VD (par renvoi de l’art. 99 LPA-VD), de sorte qu'il y a lieu d'entrer en matière sur le fond.</w:t>
      </w:r>
    </w:p>
    <w:p>
      <w:r>
        <w:rPr>
          <w:b/>
        </w:rPr>
        <w:t>E. 2</w:t>
      </w:r>
    </w:p>
    <w:p>
      <w:r>
        <w:t>Dans son premier recours, la recourante fait valoir que l'autorité intimée n'a pas suffisamment motivé sa décision du 25 juin 2014, dans la mesure où elle a commencé par énoncer les conditions qui doivent être réalisées afin qu'une activité soit considérée comme présentant un intérêt économique ou scientifique prépondérant au sens de l'art. 21 al. 3 LEtr, pour ensuite conclure " à l'examen de la demande, il apparaît que ces conditions ne sont pas réalisées, notamment sous l'angle des dispositions relatives à la priorité ". Selon la recourante, elle n'aurait ainsi pas compris si sa demande était rejetée en vertu de l'art. 21 al. 1 LEtr ou de l'al. 3 de cette même disposition, l'autorité confondant les conditions posées par ces deux alinéas, ce qui l'aurait gênée pour rédiger son recours et justifierait l'invalidation de la décision pour violation de son droit d'être entendue. a) Le droit d'être entendu, inscrit à l'art. 29 al. 2 de la Constitution fédérale du 28 avril 1999 (Cst. ; RS 101), comprend notamment le droit d'obtenir une décision motivée. Ce droit vise à permettre au justiciable de comprendre la décision, la contester utilement s'il y a lieu et d'exercer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ATF 138 I 232 consid. 5.1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1C_587/2013 du 29 août 2013 consid. 2.1 et les arrêts cités). b) En l'occurrence, même si la tournure de la phrase écrite par l'autorité intimée dans sa décision du 25 juin 2014 pourrait être considérée comme maladroite, il n'en demeure pas moins qu'il ressort du texte que l'autorité intimée, dans un premier temps, a examiné si la recourante pouvait se voir octroyer une autorisation de séjour sans respecter l'ordre de priorité prévu par l'art. 21 al. 1 LEtr, à savoir si les conditions fixées par l'art. 21 al. 3 LEtr étaient réalisées. Considérant qu'elles ne l'étaient pas, l'autorité intimée a, dans un deuxième temps, constaté que la recourante n’avait pas prouvé avoir respecté cet ordre de priorité prévu par l'art. 21 al. 1 LEtr, puisqu'elle n'avait pas démontré avoir déployé tous les efforts pour recruter un travailleur indigène (résidant) ou ressortissant d’un Etat membre de l'UE/AELE. L'autorité intimée a dès lors examiné successivement l'application de l'art. 21 al. 3 et al. 1 LEtr. La recourante a contesté la décision attaquée en faisant valoir qu'elle avait respecté l'ordre de priorité prévu par l'art. 21 al. 1 LEtr et qu'au regard de sa formation et de ses qualités, A.B.________ devait être considérée comme une personne hautement qualifiées au sens de l'art. 23 LEtr. On ne voit dès lors pas quelle difficulté la recourante a rencontrée pour rédiger son recours ni quel préjudice elle aurait subi, et il n'y a aucun motif d'annuler la décision attaquée pour une prétendue violation de son droit d'être entendu.</w:t>
      </w:r>
    </w:p>
    <w:p>
      <w:r>
        <w:rPr>
          <w:b/>
        </w:rPr>
        <w:t>E. 3</w:t>
      </w:r>
    </w:p>
    <w:p>
      <w:r>
        <w:t>Dans son deuxième recours, la recourante reproche à l'autorité intimée d'avoir consulté le SEM avant de rendre sa décision du 27 janvier 2015 et d'avoir repris l'argumentation de ce dernier pour justifier son refus. Elle invoque une violation des règles de partage des compétences, de la garantie d'accès à une autorité neutre et impartiale et de son droit d'être entendu. a) L'art. 40 al. 2 LEtr dispose que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Aux termes de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L'art. 85 al. 2 de l'ordonnance du 24 octobre 2007 relative à l'admission, au séjour et à l'exercice d'une activité lucrative (OASA; RS 142.201) dispose que les décisions préalables des autorités du marché du travail (art. 83) doivent être soumises au SEM pour approbation avant l'octroi d'une autorisation de séjour de courte durée au sens de l'art. 32 LEtr ou d'une autorisation de séjour au sens de l'art. 33 LEtr avec activité lucrative, à l'exception des décisions préalables relatives aux autorisations visées à l'art. 19 al. 4 et à celles pour les artistes de cabaret (art. 34). La loi prévoit dès lors effectivement un partage de compétence entre la Confédération et les cantons, en ce sens qu'il appartient en premier lieu aux cantons, respectivement à leurs offices de l'emploi, de statuer sur l'octroi ou le refus initial d'une autorisation d'exercer une activité lucrative alors que le SEM est chargé, en cas de décision préalable positive de l'autorité cantonale du marché de l'emploi, de se prononcer aussi sur cette question par la voie de la procédure d'approbation (ATF 127 II 49 consid. 3a, 120 Ib 6 consid. 2 et 3a, applicables mutatis mutandis aux nouvelles dispositions, cité dans arrêt du TAF C-5420/2012 du 15 janvier 2014). b) En l'espèce, la recourante a déposé le 20 mai 2014 une première demande de permis de séjour, avec activité lucrative, laquelle a été rejetée par l'autorité intimée le 25 juin 2014. Alors que la recourante avait recouru contre cette décision devant le Tribunal cantonal, elle a déposé une nouvelle demande de permis de séjour, avec activité lucrative, le 26 septembre 2014. L'autorité intimée a informé le tribunal, par lettre du 27 octobre 2014, qu'il était possible que les éléments figurant dans cette nouvelle demande de permis de séjour justifient la délivrance d'un permis de séjour avec activité lucrative, mais qu'il voulait d'abord demander l'avis du SEM. La recourante, qui a reçu une copie de cette lettre, ne s'est pas opposée à cette démarche jusqu'au dépôt de son recours où elle fait valoir une violation du partage des compétences. Or, le partage des compétences prévu par la législation fédérale n'interdit pas aux offices cantonaux, s'ils ont des questions sur l'application de la LEtr, de s'adresser au SEM, qui est précisément l'autorité fédérale chargée de surveiller la bonne application de cette loi, comme cela ressort de l'art. 12 al. 1 de l'ordonnance du 17 novembre 1999 sur l’organisation du Département fédéral de justice et police (Org DFJP; RS 172.213.1), qui dispose que le SEM est l’autorité compétente de la Confédération pour les questions relevant de l’immigration et de l’émigration, du droit des étrangers et de la nationalité suisse, ainsi qu’en matière d’asile et de réfugiés. Il poursuit notamment comme objectif d'assurer une politique cohérente en matière d’étrangers, notamment en ce qui concerne l’admission et le séjour d’étrangers conformément aux engagements de droit international public et compte tenu des principes humanitaires et de la mise en œuvre du regroupement familial (ch.1) et l’admission de main-d’œuvre étrangère compte tenu des intérêts macro-économiques, des chances d’intégration professionnelle et sociale à long terme, ainsi que des besoins scientifiques et culturels de la Suisse (ch.2). Selon l'art. 12 al. 2 let. d Ord DFJP, afin de poursuivre les objectifs visés à l’al. 1 dans les domaines des étrangers et de la nationalité, le SEM assure la surveillance de l’application du droit des étrangers dans les cantons. Afin d'assurer une pratique uniforme entre les cantons, le SEM a publié des directives intitulées " Domaine des étrangers " (ci-après: les directives), dans lesquelles il a notamment indiqué, pour certaines professions, les conditions qui doivent être réalisées pour l'octroi d'une autorisation de séjour avec activité lucrative. Pour ce qui est des artistes de scène, les directives précisent qu' une autorisation contingentée peut être octroyée aux artistes ressortissants d’Etats non-membres de l’UE/AELE qui sont engagés en Suisse pour une longue période, par exemple les musiciens d’un orchestre symphonique ou les acteurs engagés par un théâtre (cf. arrêt du TAF C-33/2008 du 15 décembre 2008, consid. 7.2.), mais qu'il faut notamment qu'il s'agisse de théâtres et opéras d’une certaine importance et orchestres symphoniques et que l’engagement doit porter sur une année et correspondre à 75% d’une occupation à temps complet. La rétribution doit être conforme aux conditions de rémunération en usage dans la localité et la profession et doit permettre à l’artiste de subvenir à ses besoins (cf. au ch. 4.7.12.1 des directives actualisées le 1 er juillet 2015 ). Il ressort également des directives que l'admission d'enseignants en provenance de pays n'appartenant pas à l’espace de l'UE/AELE n'est possible que dans des cas très particuliers, si ceci s'inscrit dans l'intérêt général de l'économie (art. 18 let. a LEtr) et si le personnel adéquat ne peut pas être recruté sur le marché national du travail ou sur celui de l'UE/AELE. Les demandes ne sont en principe admises que si elles sont présentées par des écoles privées, d'une certaine importance, dispensant un enseignement à plein temps (écoles internationales, écoles hôtelières, etc.). Le requérant doit présenter un dossier contenant toutes les preuves requises par les autorités compétentes, démontrant que le personnel adéquat ne peut pas être recruté sur le marché du travail local ou sur celui de l'UE/AELE (cf. au ch. 4.7.7.1 des directives). Dans le cas d'espèce, la recourante aimerait engager comme professeur de chant dans son école privée une ressortissante arménienne, qui se produit accessoirement comme artiste lyrique. Face à ce cas particulier, l'autorité intimée a préféré demander au SEM son avis. L'autorité fédérale lui a répondu en reprenant le contenu de ses directives publiées, tout en précisant notamment, que, selon sa pratique, aucune autorisation n'était délivrée pour des artistes engagés par des écoles de musique privées pour donner des cours, car, dans ce domaine, il n'y a pas de pénurie de main d'œuvre. L'autorité intimée n'était pas liée par ce préavis et elle aurait pu s'en écarter si elle n'avait pas été convaincue par les explications données par l'autorité fédérale, notamment si elle avait été d'avis que la recourante avait fait les recherches nécessaires sur le marché de l'emploi sans succès. La démarche opérée par l'autorité intimée n'a rien de critiquable. Elle n'a pas privé la recourante d'un degré d'instance neutre et ne constitue pas une violation dès règles du partage des compétences, la décision attaquée ayant bien été prise librement par l'autorité compétente.</w:t>
      </w:r>
    </w:p>
    <w:p>
      <w:r>
        <w:rPr>
          <w:b/>
        </w:rPr>
        <w:t>E. 4</w:t>
      </w:r>
    </w:p>
    <w:p>
      <w:r>
        <w:t>La recourante estime que l'autorité intimée aurait dû délivrer une autorisation de séjour avec activité lucrative à A.B.________, les conditions posées par les art. 21 al. 1, 23 al. 1 et 23 al. 3 let. c LEtr étant réalisées. a)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ch. 4.3.2.1 et 4.3.2.2 des directives du SEM prévoient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(cf. notamment arrêts CDAP PE.2014.0006 du 1 er juillet 2014 consid. 2b; PE.2013.0125 du 16 octobre 2013 consid. 3). A teneur de l’art. 23 al.1 LEtr, seuls les cadres, les spécialistes ou autres travailleurs qualifiés peuvent obtenir 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 déjà cité et les réf.cit. ). En dérogation à l’art. 23 al. 1 et 2 LEtr, peuvent être admis, selon l’al. 3 let. c de cette disposition, notamment les personnes possédant des connaissances ou des capacités professionnelles particulières, si leur admission répond de manière avérée à un besoin.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 arrêt du TAF C-5420 déjà cité et les réf.cit. ). b) En l'espèce, le SEM a précisé qu'il n'approuvait pas les autorisations de séjour pour des artistes engagés par des écoles de musique privées pour donner des cours, car, dans ce domaine, il n'y a pas de pénurie de main d'œuvre. La recourante conteste cette affirmation. Elle n'apporte cependant pas la preuve d'avoir fait des recherches suffisantes sur le marché du travail suisse ou européen pour trouver un professeur de chant. En effet, lorsqu'elle a adressé sa première demande d'autorisation de travail en faveur de A.B.________ à l'autorité intimée le 20 mai 2014, elle n'avait entrepris aucune démarche pour trouver un travailleur indigène capable d'occuper le poste recherché. Ce n'est qu'au cours du mois de juillet 2014 qu'elle a commencé à faire paraître des annonces sur trois sites internet. La recourante n'allègue pas non plus avoir annoncé le poste vacant à l'ORP ni avoir recouru aux services d'agences de placement de personnel. Les démarches entreprises par la recourante sont dès lors clairement insuffisantes et impropres à établir que sur le marché indigène, personne ne répond au profil recherché. Il faut également relever que l'annonce publiée sur internet selon laquelle l'école privé située à 1********* recherche un professeur de chant lyrique " spécialisé dans l'enseignement du chant russe et arménien ", qui doit avoir une expérience d'enseignement de minimum 2 ans, et avoir un " très bon niveau de l'anglais, russe et arménien ", semble avoir été rédigée en fonction du profil de A.B.________ et non pas des besoins spécifiques de l'école. Une école de musique qui s'adresse à la clientèle "traditionnelle" de ces institutions, à savoir les enfants et des adultes amateurs de musique, ne vise généralement pas à donner une formation particulière à ses élèves, dans un type particulier de musique (particulier en raison de l'origine ou de l'époque). On constate du reste, à la lecture des informations figurant sur le site internet de l'école ( www.X._________.ch ), que l'accent est mis sur l'initiation musicale et non pas sur la musique instrumentale ou chorale d'Arménie ou de Russie. Rien n'indique que l'on privilégie dans cette école la musique provenant de ces deux pays ou de l'ex-URSS. Compte tenu de ces éléments, force est d'admettre que la recourante a d’emblée porté son choix sur A.B.________ sans faire de recherche sérieuse sur le marché local du travail , vraisemblablement par simple convenance personnelle . Ce faisant, elle n'a pas respecté l'ordre de priorité auquel est soumis l'engagement d'une ressortissante arménienne.</w:t>
      </w:r>
    </w:p>
    <w:p>
      <w:r>
        <w:rPr>
          <w:b/>
        </w:rPr>
        <w:t>E. 5</w:t>
      </w:r>
    </w:p>
    <w:p>
      <w:r>
        <w:t>La recourante fait également valoir que A.B.________ est une étrangère titulaire d'un diplôme d'une Haute école suisse dont l'activité lucrative revêt un intérêt scientifique ou économique prépondérant au sens de l'art. 21 al. 3 LEtr, de sorte qu'elle n'avait pas à respecter l'ordre de priorité de l'art. 21 al. 1 LEtr. a) L'art. 21 al. 3 LEtr a pour but de permettre à la Suisse de tirer un profit direct des investissements consentis pour la spécialisation des étudiants étrangers (cf. FF 2010 I 373, spéc. p. 384, citée notamment in: CDAP PE.2014.0102 du 9 mai 2014 consid. 2a ). A cet égard, les directives du SEM, dans leur version en vigueur au 1 er juillet 2015, précisent notamment ce qui suit (ch. 4.4.7 ):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L'admission de cette catégorie de personnes a lieu sans examen de règle sur l'ordre de priorité des travailleurs (art. 21, al. 3, LEtr). Restent en revanche applicables les autres conditions d'admission pour l'exercice d'une activité lucrative, prévues aux art. 20 ss LEtr. La décision préalable des autorités cantonales du marché du travail doit être soumise pour approbation au SEM ". b) En l'occurrence, l'activité de professeur de chant dans une école privée vaudoise, qui s'adresse aux enfants et aux musiciens amateurs, ne revêt manifestement pas un intérêt scientifique ni un intérêt économique prépondérant, au sens des directives précitées, qui reflètent bien le sens de la loi. La recourante prétend certes qu'il existe sur le marché du travail un besoin avéré de main d'œuvre dans le secteur de l'enseignement musical ainsi que l'aurait révélé l'adoption par le peuple de l'Arrêté fédéral sur la promotion de la formation musicale des jeunes du 15 mars 2012, suite à l'initiative populaire " jeunesse +musique " (nouvel article 67a Cst). Or, il ne ressort pas du texte du Message du Conseil fédéral relatif à cette initiative (FF 2010 1 et ss) qu'il y aurait une pénurie d'enseignants dispensant des cours de chant dans des écoles de musique privées, soit dans le domaine extrascolaire, mais uniquement qu'il faut améliorer la formation des enseignants dans le domaine scolaire (cf. p. 16). En définitive, quand bien même l'artiste concernée a acquis des diplômes attestant de ses qualités et de la valeur de sa formation musicale – ce qui lui permet d'être engagée pour des concerts où les solistes ou les choristes ont des hautes qualifications -, cela ne signifie pas que pour la profession qu'elle entend exercer au service de la recourante, on se trouve dans une situation où seule une personne hautement spécialisée pourrait être engagée. Partant, c'est à juste titre, et sans violation du droit fédéral, que l'autorité intimée a refusé d'octroyer les autorisations sollicitées.</w:t>
      </w:r>
    </w:p>
    <w:p>
      <w:r>
        <w:rPr>
          <w:b/>
        </w:rPr>
        <w:t>E. 6</w:t>
      </w:r>
    </w:p>
    <w:p>
      <w:r>
        <w:t>Les considérants qui précèdent conduisent au rejet des deux recours et à la confirmation des deux décisions attaquées. Vu le sort de la cause, un émolument judiciaire est mis à la charge de la recourante (art. 46 al. 3 et art. 49 al. 1 LPA-VD)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