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PE.2014.0290 vom 24. November 2014</w:t>
      </w:r>
    </w:p>
    <w:p>
      <w:r>
        <w:t>VD Tribunal cantonal, 2014-11-24, FR</w:t>
      </w:r>
    </w:p>
    <w:p>
      <w:r>
        <w:rPr>
          <w:b/>
        </w:rPr>
        <w:t xml:space="preserve">Quelle: </w:t>
      </w:r>
      <w:r>
        <w:t>https://mcp.opencaselaw.ch/entscheid/vd_omni_PE.2014.0290</w:t>
      </w:r>
    </w:p>
    <w:p>
      <w:r>
        <w:t>FR: VD_OMNI PE.2014.0290 du 24 novembre 2014</w:t>
      </w:r>
    </w:p>
    <w:p>
      <w:r>
        <w:t>IT: VD_OMNI PE.2014.0290 del 24 novembre 2014</w:t>
      </w:r>
    </w:p>
    <w:p>
      <w:pPr>
        <w:pStyle w:val="Heading2"/>
      </w:pPr>
      <w:r>
        <w:t>Regeste</w:t>
      </w:r>
    </w:p>
    <w:p>
      <w:r>
        <w:t>A. X.________ c/Service de la population (SPOP) | Dès lors que l'art. 42 al. 2 LEtr ne vise que les ascendants de ressortissants suisses titulaires d'une autorisation de séjour durable délivrée par un Etat avec lequel la Suisse a conclu un accord sur la libre circulation des personnes, la recourante, originaire du Kosovo, ne peut bénéficier d'une autorisation de séjour par regroupement familial, quand bien même l'un de ses enfants bénéficie de la nationalité suisse. La recourante ne saurait davantage se voir octroyer une autorisation de séjour fondée sur l'art. 28 LEtr, la condition des "liens personnels particuliers avec la Suisse" n'étant en l'espèce pas remplie. L'art. 25 al. 2 let. b OASA ne saurait en particulier être interprété dans le sens où la simple existence d'une relation avec un proche parent résidant en Suisse suffit à cet égard. En l'espèce, les liens de la recourante avec la Suisse se limitent au fait que plusieurs de ses proches y sont établis. Recours rejeté.Recours en matière de droit public et recours constitutionnel subsidiaire déclarés irrecevables par arrêt du TF du 13 janvier 2015 (2C_17/2015)</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former recours, au sens de l'art. 75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4</w:t>
      </w:r>
    </w:p>
    <w:p>
      <w:r>
        <w:t>Au vu de ce qui précède, le recours doit être rejeté et la décision attaquée confirmée. Les frais de la présente procédure seront dès lors mis à la charge de la recourante, qui succombe; il n'y a pas lieu d'allouer de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