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PE.2014.0289 vom 20. Februar 2015</w:t>
      </w:r>
    </w:p>
    <w:p>
      <w:r>
        <w:t>VD Tribunal cantonal, 2015-02-20, FR</w:t>
      </w:r>
    </w:p>
    <w:p>
      <w:r>
        <w:rPr>
          <w:b/>
        </w:rPr>
        <w:t xml:space="preserve">Quelle: </w:t>
      </w:r>
      <w:r>
        <w:t>https://mcp.opencaselaw.ch/entscheid/vd_omni_PE.2014.0289</w:t>
      </w:r>
    </w:p>
    <w:p>
      <w:r>
        <w:t>FR: VD_OMNI PE.2014.0289 du 20 février 2015</w:t>
      </w:r>
    </w:p>
    <w:p>
      <w:r>
        <w:t>IT: VD_OMNI PE.2014.0289 del 20 febbraio 2015</w:t>
      </w:r>
    </w:p>
    <w:p>
      <w:pPr>
        <w:pStyle w:val="Heading2"/>
      </w:pPr>
      <w:r>
        <w:t>Regeste</w:t>
      </w:r>
    </w:p>
    <w:p>
      <w:r>
        <w:t>A. X.________ Y.________ Z.________/Département de l'économie et du sport, Service de la population (SPOP) | Ressortissant portugais, arrivé en Suisse en 1999 à l'âge de 10 ans, condamné à trois reprises, en dernier lieu à une peine privative de liberté de 35 mois pour brigandage, menaces qualifiées et voies de fait qualifiées. Confirmation de la révocation de son autorisation d'établissement. Compte tenu du passé judiciaire du recourant, de ses addictions qui ne sont pas révolues et des conclusions de l'expertise à laquelle il a été soumis dans le cadre de la procédure ayant abouti à sa dernière condamnation (risque de récidive élevé), il présente une menace actuelle et réelle pour l'ordre public. La mesure ne porte par ailleurs pas atteinte au principe de proportionnalité, ni ne consacre une violation de l'art. 8 CEDH, en dépit de la longue durée du séjour en Suisse du recourant et de la présence de son fils de 6 ans, qu'il voit un week-end sur deux depuis sa sortie de prison. Recours rejeté. Recours au TF rejeté (arrêt 2C_269/2015 du 2 décembre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TF 2C_139/2014 du 4 juillet 2014 consid. 2.1 et 2C_473/2011 du 17 octobre 2011 consid. 2.1). 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135 II 377 consid. 4.2 p. 380 ss). b) Comme l'ensemble des droits octroyés par l'ALCP, le droit de demeurer en Suisse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139 II 121 consid. 5.3 p. 125 s. et les références citées ).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 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(TF 2C_421/2012 du 25 janvier 2013 consid. 3.3 et les références citées).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toutefois exclu ni par l'ALCP, ni par la Convention de sauvegarde des droits de l'homme et des libertés fondamentales du 4 novembre 1950 (CEDH; RS 0.101) (ATF 130 II 176 consid. 4.4 p. 189 s. et les références).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de la Convention de sauvegarde des droits de l'homme et des libertés fondamentales du 4 novembre 1950 (CEDH; RS 0.101).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139 I 145 consid.</w:t>
      </w:r>
    </w:p>
    <w:p>
      <w:r>
        <w:rPr>
          <w:b/>
        </w:rPr>
        <w:t>E. 2.2</w:t>
      </w:r>
    </w:p>
    <w:p>
      <w:r>
        <w:t>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 ATF 139 I 145 consid.</w:t>
      </w:r>
    </w:p>
    <w:p>
      <w:r>
        <w:rPr>
          <w:b/>
        </w:rPr>
        <w:t>E. 2.3</w:t>
      </w:r>
    </w:p>
    <w:p>
      <w:r>
        <w:t>p. 148 s.; 135 II 377 consid. 4.3 et 4.4 p. 381 s.; 130 II 176 consid. 4.1 p. 185).</w:t>
      </w:r>
    </w:p>
    <w:p>
      <w:r>
        <w:rPr>
          <w:b/>
        </w:rPr>
        <w:t>E. 3</w:t>
      </w:r>
    </w:p>
    <w:p>
      <w:r>
        <w:t>a) En l'espèce, le recourant a été condamné à trois reprises, en dernier lieu à une peine privative de liberté de 35 mois. Il réalise ainsi le motif de révocation prévu à l'art. 62 let. b LEtr. Par ailleurs, compte tenu de la gravité des actes ayant conduit à cette dernière condamnation et leur nature (brigandage, menaces qualifiées, voies de faits qualifiées, diverses infractions à la loi sur la circulation routière), le recourant tombe également incontestablement sous le coup de l'art. 63 al. 1 let. b LEtr. Il reste à examiner si la révocation de son autorisation d'établissement se justifie sous l'angle des conditions dont l'ALCP fait dépendre la limitation des droits qu'il confère, ainsi que du principe de proportionnalité (arrêt PE.2012.0193 du 24 octobre 2013 et les références citées). b) Dans leur rapport d'expertise psychiatrique du 7 novembre 2012, les experts ont estimé le risque de récidive élevé pour des actes de même nature. Ils ont mis en avant l'historique de récidive, l'absence d'étayage socio-professionnel structurant, les diverses addictions du recourant, son trouble de la personnalité dyssociale, qui engendre une incapacité d'élaboration et de remise en question, ainsi que ses difficultés et sa non-volonté de s'inscrire dans un projet psycho-socio-professionnel. Ils ont relevé en outre que l'intéressé avait souvent recours à la projection, mettant ses actes sur le compte de l'influence de la drogue ou se déculpabilisant de la responsabilité de ses délits en se disant sous l'influence d'autrui. Dans son jugement du 22 mai 2013, le Tribunal correctionnel de la Broye et du Nord vaudois, partageant les inquiétudes des experts, a considéré également que le risque de récidive était élevé. Le recourant cherche dans ses écritures à relativiser la portée de ces avis, en faisant valoir qu'il a trouvé une certaine stabilité depuis sa sortie de prison. Certes, il travaille depuis plusieurs mois comme serveur dans un établissement public de 1********. Cette activité ne lui permet toutefois pas de subvenir à ses besoins. Par ailleurs, à l'audience, il a expliqué que son employeur envisageait de se séparer de lui. Il risque ainsi de se retrouver prochainement sans emploi, ce qui compromettrait fortement ses chances de réinsertion. En outre, contrairement à ce qu'il soutient dans ses écritures, le recourant ne semble pas avoir pris véritablement au sérieux ses problèmes d'addictions. Il ressort en effet du rapport du CAP du 28 novembre 2014 et de son complément du 19 janvier 2015, que l'intéressé ne se présente que très irrégulièrement aux contrôles d'abstinence auxquels il a été astreint à sa libération conditionnelle, n'honorant ainsi depuis septembre 2014 que cinq rendez-vous sur 17. De plus, les contrôles effectués à ces occasions se sont révélés positifs à deux reprises, une fois à la cocaïne et l'autre fois au cannabis. Invité à s'expliquer sur ces manquements, le recourant a admis avoir fumé un joint à la suite d'une dispute avec son amie. Il ne s'expliquait pas en revanche le contrôle positif à la cocaïne. Quant aux rendez-vous manqués, il n'en assume pas la responsabilité, les mettant conformément à son mécanisme de défense décrit par le rapport d'expertise du 7 novembre 2012 sur le compte d'une autre personne, en l'occurrence son employeur qui n'accepterait pas ses fréquentes absences du travail pour effectuer ses contrôles d'abstinence. Ne travaillant qu'à 50%, il devrait pourtant de l'avis de la cour être en mesure d'aménager son temps de travail pour se rendre une fois par semaine au CAP. Comme autre facteur stabilisant, le recourant évoque encore la relation stable qu'il entretient avec sa nouvelle amie et leur enfant qui naîtra en juillet 2015. On constate toutefois que sa précédente compagne et son fils B. ne l'ont pas empêché de commettre des infractions à l'époque. Il n'est ainsi pas certain que cette nouvelle relation (qui avait apparemment débuté avant le brigandage commis en avril 2012, puisque le recourant a expliqué qu'ils s'étaient connus avant son incarcération) aura l'effet dissuasif voulu, ce d'autant plus que la situation du couple sur le plan financier est précaire. Le recourant se prévaut en outre du pronostic favorable émis par le juge d'application des peines, qui a accordé la libération conditionnelle. Conformément à la jurisprudence rappelée par l'autorité intimée dans ses écritures, la libération conditionnelle au sens de l'art. 86 CP n'est toutefois pas décisive pour apprécier la dangerosité pour l'ordre public de celui qui en bénéficie et que la police des étrangers est libre de tirer ses propres conclusions à ce sujet (cf. ATF 130 II 176 consid. 4.3.3 p. 188). Le fait que l'étranger fasse preuve d'un comportement adéquat durant l'exécution de sa peine, y compris après avoir été placé aux arrêts domiciliaires, est généralement attendu de tout délinquant (TF 2C_139/2014 du 4 juillet 2014 consid. 4.4; 2C_791/2013 du 22 octobre 2013 consid. 5; 2C_401/2012 du 18 septembre 2012 consid. 3.5.4 et les références citées);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(TF 2C_139/2013 du 11 juin 2013 consid. 7.1; 2C_562/2011 précité, consid. 4.3.1). Au regard de ces éléments, en particulier du passé judiciaire du recourant, de ses addictions, qui ne sont pas révolues, et des conclusions du rapport d'expertise du 7 novembre 2012, le risque de récidive, déterminant en l'espèce, doit être considéré comme restant important et d'actualité. Il convient dès lors d'admettre que l'intéressé présente une menace actuelle et réelle pour l'ordre public, qui justifie une mesure de limitation de son droit de séjour en application de l'art. 5 annexe I ALCP. c) En ce qui concerne la proportionnalité de la mesure, il faut opposer à l'intérêt public à l'éloignement du recourant compte tenu de la menace qu'il représente l'intérêt privé de l'intéressé à demeurer auprès de sa famille. Arrivé à l'âge de dix ans, le recourant séjourne en Suisse depuis un peu plus de quinze ans. Il y a toutes ses attaches familiales: ses parents, ainsi que ses frères et soeurs. Il entretient de plus depuis sa sortie de prison une relation sérieuse avec une compatriote. Le couple a emménagé et attend un enfant pour juillet 2015. Le recourant a également un fils né d'une précédente relation. Compte tenu du conflit avec la mère (il faut rappeler que le recourant l'a frappée, injuriée et menacée à plusieurs reprises; voir jugement du Tribunal correctionnel de la Broye et du Nord vaudois du 16 juillet 2010), l'exercice du droit de visite est difficile. La situation se serait toutefois améliorée récemment. Le recourant voit actuellement son fils un week-end sur deux, généralement les samedi et dimanche de 10h à 20h, l'enfant dormant chez sa mère. On ne saurait ainsi sous-estimer les conséquences auxquelles le recourant serait confronté en cas de renvoi au Portugal. Une telle mesure ne l'empêchera toutefois pas de maintenir des liens avec ses proches, notamment dans le cadre de séjours touristiques. Il y a lieu de relever à cet égard qu'au moment de s'engager, la compagne du recourant n'ignorait pas le passé judiciaire de ce dernier et qu'elle a ainsi accepté le risque qu'il puisse être renvoyé au Portugal (en particulier TF 2C_419/2014 du 13 janvier 2015 consid. 4.3.4). Par ailleurs, étant elle-même de nationalité portugaise, il est envisageable qu'elle rejoigne le recourant après la naissance de leur enfant. Quant à l'aménagement du droit de visite sur son fils qui sera nécessaire, il n'apparaît pas malgré les tensions existant avec la mère – et quoi qu'en dise le recourant – voué à l'échec. Compte tenu de l'ensemble des circonstances, en particulier de la gravité des actes commis par l'intéressé, de sa persistance à ne pas respecter l'ordre juridique et du risque de récidive élevé, l'intérêt public à éloigner le recourant l'emporte sur son intérêt privé à rester en Suisse. La révocation de l'autorisation d'établissement de l'intéressé ne porte dès lors pas atteinte au principe de proportionnalité, ni ne consacre une violation de l'art. 8 CEDH.</w:t>
      </w:r>
    </w:p>
    <w:p>
      <w:r>
        <w:rPr>
          <w:b/>
        </w:rPr>
        <w:t>E. 4</w:t>
      </w:r>
    </w:p>
    <w:p>
      <w:r>
        <w:t>Les considérants qui précèdent conduisent au rejet du recours et à la confirmation de la décision attaquée. a) Compte tenu de ses ressources, le recourant a été mis au bénéfice de l'assistance judiciaire par décision du 22 juillet 2014.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l'indemnité de Me Robert Fox peut être arrêtée compte tenu de la liste des opérations et débours produite à 2'268 fr. 30, soit 1'880 fr. d'honoraires (8h x 180 fr. + 4h x 110 fr.), 220 fr. 30 de débours et de 168 fr. TVA (8%), montant que l'on peut arrondir à 2'270 francs.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