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PE.2014.0267 vom 17. September 2015</w:t>
      </w:r>
    </w:p>
    <w:p>
      <w:r>
        <w:t>VD Tribunal cantonal, 2015-09-17, FR</w:t>
      </w:r>
    </w:p>
    <w:p>
      <w:r>
        <w:rPr>
          <w:b/>
        </w:rPr>
        <w:t xml:space="preserve">Quelle: </w:t>
      </w:r>
      <w:r>
        <w:t>https://mcp.opencaselaw.ch/entscheid/vd_omni_PE.2014.0267</w:t>
      </w:r>
    </w:p>
    <w:p>
      <w:r>
        <w:t>FR: VD_OMNI PE.2014.0267 du 17 septembre 2015</w:t>
      </w:r>
    </w:p>
    <w:p>
      <w:r>
        <w:t>IT: VD_OMNI PE.2014.0267 del 17 settembre 2015</w:t>
      </w:r>
    </w:p>
    <w:p>
      <w:pPr>
        <w:pStyle w:val="Heading2"/>
      </w:pPr>
      <w:r>
        <w:t>Regeste</w:t>
      </w:r>
    </w:p>
    <w:p>
      <w:r>
        <w:t>A.B.X._________/Service de la population (SPOP) | Recours contre le refus de reconsidérer le non-renouvellement de l'autorisation de séjour d'un ressortissant ivoirien, arrivé en Suisse en 2007, dont l'épouse et les enfants sont au bénéfice d'un permis d'établissement. Le recourant a fait l'objet de plusieurs condamnations pénales entre 2007 et 2014 variant entre une peine pécuniaire de 40 jours amende à 30 fr. et 30 mois d'emprisonnement pour des infractions à la LStup, LEtr, vol, blanchiment d'argent et tentative d'escroquerie. Il tombe sous le coup de l'art. 62 let. b LEtr, la première condition posée par la jurisprudence au refus du renouvellement de l'autorisation de séjour étant remplie. Ni la naissance de ses deux enfants ni la menace que son autorisation de séjour ne soit pas renouvellée n'ont eu d'effet sur lui. Au vu de la gravité des infractions commises, il existe un intérêt public prépondérant à son éloignement de Suisse. Pas de violation de l'art. 8 CEDH, l'épouse étant également ressortissante ivoirienne et les enfants étant âgés de 7 ans et 22 mois; un éventuel déplacement et une intégration en Côte d'Ivoire n'apparaissant pas impossible. Rejet du recours.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Le recourant invoque que l’autorité intimée a commis un déni de justice en considérant sa demande du 29 avril 2014 comme une requête de réexamen et non comme une demande de permis humanitaire. a) Le droit d'être entendu est une garantie constitutionnelle de nature formelle ancrée aux art. 29 al. 2 de la Constitution fédérale du 18 avril 1999 de la Confédération suisse (Cst; RS 101) et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Le droit d’être entendu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 Le caractère formel du droit d'être entendu a pour conséquence que sa violation entraîne en principe l'annulation de la décision attaquée, quel que soit son sort au fond (ATF 137 I 195 consid.</w:t>
      </w:r>
    </w:p>
    <w:p>
      <w:r>
        <w:rPr>
          <w:b/>
        </w:rPr>
        <w:t>E. 2.2</w:t>
      </w:r>
    </w:p>
    <w:p>
      <w:r>
        <w:t>p. 197; 136 V 117 consid. 4.2.2.2 p. 126/127; 135 I 279 consid. 2.6.1 p. 285,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AC.2011.0170 du 31 août 2011 consid. 2b; GE.2011.0136 précité; GE.2012.0124 du 15 novembre 2012). c) En l’espèce, l’autorité intimée a expliqué dans le cadre de sa réponse au recours que les arguments invoqués n’étaient pas de nature à modifier sa décision du 18 novembre 2013. Elle a considéré que la nouvelle condamnation pénale dont le recourant a fait l’objet justifiait de refuser la prolongation de son autorisation de séjour. Dans son arrêt du 30 septembre 2011, le tribunal avait indiqué que l’autorité intimée serait amenée à réexaminer la situation à connaissance de la décision pénale à intervenir ou de nouveaux éléments relatifs à la situation financière du couple. Partant, l’autorité intimée a respecté cette injonction en rendant une nouvelle décision en date du 18 novembre 2013. Suite à la demande déposée le 29 avril 2014 par le recourant, l’autorité intimée n’a certes pas procédé à un examen global de la situation de ce dernier et de sa famille ; toutefois, compte tenu du pouvoir d'examen de l'autorité de céans, il convient d'admettre que le défaut de motivation a été réparé dans le cadre de la présente procédure, ce qui conduit au rejet du recours sur ce point.</w:t>
      </w:r>
    </w:p>
    <w:p>
      <w:r>
        <w:rPr>
          <w:b/>
        </w:rPr>
        <w:t>E. 3</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En l’espèce, le recourant motive son recours en invoquant que les infractions qu’il a commises ne sauraient être cumulées et que de ce fait la peine privative de liberté de longue durée ne saurait résulter de l’addition des sanctions prononcées.</w:t>
      </w:r>
    </w:p>
    <w:p>
      <w:r>
        <w:rPr>
          <w:b/>
        </w:rPr>
        <w:t>E. 4</w:t>
      </w:r>
    </w:p>
    <w:p>
      <w:r>
        <w:t>a) Par peine privative de longue durée au sens de l’art. 62 let. b LEtr, on entend une peine de plus d’un an; les peines infligées d’une durée inférieure ne peuvent être cumulées (ATF 139 I 31 consid. 2.1 p. 32, 145 consid. 2.1 p. 147; 135 II 377 consid. 4.2 p. 381; 137 II 97, et les arrêts cités). L’étranger qui a, par son comportement, porté atteinte à des biens juridiques de haute valeur, sur lequel les peines infligées n’ont pas produit l’effet dissuasif escompté, et dont on peut objectivement craindre la récidive, peut voir son autorisation de séjour révoquée (ATF 139 I 31 consid. 2.1 p. 32/33; 137 II 297 consid. 3 p. 302ss, et les arrêts cités). b) En l’occurrence, force est de constater que le recourant a écopé d’une première peine privative de liberté de 55 jours, puis d’une seconde de 30 mois et d’une troisième de six mois. Par conséquent, contrairement à ce qu’il soutient, l’une d’entre elle a atteint la limite d’un an, fixée par la jurisprudence fédérale précitée. La première condition posée par la jurisprudence au refus du renouvellement de l’autorisation de séjour, fondée sur l’art. 62 let. b LEtr, est ainsi remplie.</w:t>
      </w:r>
    </w:p>
    <w:p>
      <w:r>
        <w:rPr>
          <w:b/>
        </w:rPr>
        <w:t>E. 5</w:t>
      </w:r>
    </w:p>
    <w:p>
      <w:r>
        <w:t>Le recourant invoque l'art. 8 de la convention du 4 novembre 1950 de sauvegarde des droits de l'homme et des libertés fondamentales (CEDH; RS 0.101), sur lequel il estime pouvoir se fonder pour obtenir le renouvellement de son autorisation de séjour. a) L'art. 8 § 1 CEDH garantit à toute personne le droit au respect de sa vie privée et familiale. L'art. 8 §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rappelle que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153 consid. 2.1, 143 consid. 1.3.1).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 ATF 135 I 153 consid. 2.1 p. 155, 143 consid. 2.2 p. 147). En revanche, si le départ du membre de la famille pouvant rester en Suisse ne peut d'emblée être exigé sans autres difficultés, il convient de procéder à la pesée des intérêts prévue par l'art.</w:t>
      </w:r>
    </w:p>
    <w:p>
      <w:r>
        <w:rPr>
          <w:b/>
        </w:rPr>
        <w:t>E. 8</w:t>
      </w:r>
    </w:p>
    <w:p>
      <w:r>
        <w:t>§ 2 CEDH. Celle-ci suppose de tenir compte de l'ensemble des circonstances et de mettre en balance l'intérêt privé à l'obtention d'un titre de séjour et l'intérêt public à son refus ( ATF 135 I 153 consid. 2.1 p. 155).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du TF 2C_508/2009 du 20 mai 2010 consid. 2.2). Les relations familiales qui peuvent fonder, en vertu de l’art. 8 § 1 CEDH, un droit à une autorisation de police des étrangers sont avant tout les rapports entre époux ainsi qu’entre parents et enfants mineurs vivant ensemble (ATF 127 II 60 consid. 1d/aa; 120 Ib 257 consid. 1d; arrêt du TF 2C_508/2009 du 20 mai 2010 précité consid. 2.2). Pour le parent non titulaire de l’autorité parentale ou du droit de garde, il faut considérer qu'il existe un lien affectif particulièrement fort lorsque le droit de visite est organisé de manière large et qu'il est exercé de manière régulière, spontanée et sans encombre (arrêt du TF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du TF 2C_723/2010, précité, consid. 5.2; 2C_335/2009 du 12 février 2010 consid. 2.2.2; 2C_171/2009 du 3 août 2009 consid. 2.2 et les renvois, not. aux ATF 120 Ib 1 consid. 3c p. 5, 22 consid. 4a p. 25). Dans le cas de ressortissants étrangers faisant l'objet de mesures d'éloignement pour avoir commis des délits, la Cour européenne des droits de l'homme a admis une violation de l'art. 8 CEDH lorsque lesdits étrangers justifiaient de liens matrimoniaux en Suisse (arrêt Boultif c. Suisse du 2 août 2001, affaire n° 54273/00, § 46, CEDH 2001-IX, confirmé par l'arrêt Üner c. Pays-Bas, du 18 octobre 2006, affaire n° 46410/99, § 57),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et, dans son arrêt Maslov c. Autriche du 23 juin 2008, n°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b) Dans sa jurisprudence, le Tribunal cantonal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Il en a jugé de même, s'agissant d'un ressortissant portugais ayant commis de nombreuses infractions depuis 2005, notamment des atteintes à l'intégrité physique de tiers, ainsi que de la vente de stupéfiants et ayant récidivé peu de temps après avoir subi une première incarcération (PE.2008.0124 du 24 juillet 2008), ou encore pour une jeune femme ayant écoulé, ou qui entendait écouler, sur le marché de la drogue au moins 66,56 g d’héroïne pure (PE.2010.0426 du 19 novembre 2010) . Il a aussi admis que l’existence d’un risque même réduit de récidive justifiait l’éloignement de Suisse d’un jeune homme né en Suisse qui avait été condamné à 11 ans de réclusion pour assassinat, vol et contravention à la LStup (PE.2010.0076 du 26 novembre 2010).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désœuvrement, pouvait être considéré comme « réduit » avec un bon encadrement, consistant dans l'accomplissement d'une formation professionnelle et dans son placement dans un foyer. Dans le cadre de la pesée des intérêts, le Tribunal a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autre arrêt (PE.2009.0532 du 25 janvier 2010), le Tribunal a considéré que ne présentait pas un danger pour l’ordre public qui justifiait de limiter son droit de séjourner en Suisse selon l’ALCP, un toxicomane ressortissant allemand, en Suisse depuis l’enfance, dont l’autorisation d’établissement s’est éteinte en raison d’un séjour à l’étranger, qui avait été condamné à une peine de cinq ans de réclusion pour infraction grave et contravention à la LStup, peine suspendue en faveur d’une mesure thérapeutique et dont le traitement évoluait favorablement. Il a également considéré que l’activité délictuelle d’un délinquant multirécidiviste (vol avec menace, lésions corporelles simples, tentative d’extorsion, injure, contravention à la LStup et à la loi sur les transports publics, puis en 2008, agression, opposition aux actes de l’autorité, vol, brigandage, voies de fait, rixe, vol, complicité de vol, recel, injure, violation de domicile, violence ou menace contre les fonctionnaires) pourrait en principe dans d’autres circonstances justifier le non renouvellement de son autorisation de séjour. Toutefois, le fait que les actes en cause avaient été commis alors que l'intéressé était encore au début de l’âge adulte, que son comportement paraissait depuis lors avoir évolué favorablement et que la menace qu'il représentait pour l'ordre et la sécurité publics semblait dorénavant réduite, plaidait pour qu'une chance soit donnée au recourant de poursuivre en Suisse le redressement qu'il paraissait avoir opéré. Son long séjour dans ce pays, où il avait passé la majeure partie de son existence et où se trouvait toute sa proche famille, rendait ses possibilités de réintégration dans son pays d'origine pour le moins problématiques. Dans ces conditions la décision attaquée ne satisfaisait pas au principe de la proportionnalité (PE.2009.0503 du 21 avril 2011). De même dans un arrêt plus récent (PE.2013.0165 du 28 octobre 2013), le Tribunal a admis, non sans hésitations, le recours d’une personne condamnée à une peine privative de liberté de trois ans et demi pour infraction grave à la LStup (trafic de cocaïne durant plus de trois ans), au motif que l’intéressé n’avait pas commis d’autre infraction étant adulte, qu’il avait entrepris une formation, qu’il semblait très investi dans l’éducation de son fils, et disposait d’un environnement familial stable, ce qui devait contribuer également à éviter une récidive. Il n’apparaissait également pas recevable que l’épouse du recourant le suive en Côte d’Ivoire, pays qui était encore ravagé par la guerre il y a peu. Le renvoi du recourant impliquerait dès lors certainement la séparation de la famille, avec a priori des conséquences assez négatives pour les trois enfants concernés. c) Dans le cas présent, le recourant a notamment été condamné à une première peine privative de liberté de 55 jours pour faux dans les certificats et pour infraction à la LEtr, ainsi qu’à une peine privative de liberté de 30 mois pour blanchiment d’argent et infractions à la LStup et à la LEtr, ainsi que pour avoir blanchi une partie de l’argent provenant de son trafic de cocaïne, pour avoir vendu de la cocaïne aux revendeurs de rue africains et pour avoir lui-même vendu de la cocaïne directement à des consommateurs ; ce trafic ayant généré un chiffre d’affaire de l’ordre de 16'820 fr. à 25'820 fr. Il s’est par ailleurs rendu coupable d’escroquerie pour un montant de 12'758 fr. Il a ainsi compromis l'intégrité physique de personnes et porté gravement atteinte à la sécurité et à l'ordre publics. Par ailleurs, force est de constater que ni la naissance de ses deux enfants, respectivement en juin 2008 et novembre 2013, ni la menace que son autorisation de séjour ne soit pas renouvelée, ni le fait d’avoir passé 61 jours en détention préventive, ni le fait de s’être vu infliger un délai d’épreuve de cinq ans n’ont eu de véritable effet sur son comportement. Dans ces circonstances, il existe un intérêt public actuel et important à l'éloignement du recourant. d) Cet intérêt public doit être mis en balance avec l'intérêt privé du recourant à pouvoir rester en Suisse, respectivement celui de son épouse et de leurs enfants à ce qu'il reste dans ce pays. Le recourant vit certes en Suisse depuis bientôt huit ans, il n’y a toutefois séjourné l¿alement que durant deux ans, à savoir d’octobre 2011 à novembre 2013. Le tribunal doit en outre prendre en compte, dans son appréciation, le fait que le recourant a commis son premier délit très peu de temps après son arrivée en Suisse et qu’il n’a pas hésité à récidiver à plusieurs reprises. Son épouse, également ressortissante ivoirienne, est au bénéfice d’un permis d’établissement. Compte tenu de ces circonstances, l’intérêt du recourant au maintien d'une vie familiale sur sol helvétique ne doit pas être négligé. Quant aux enfants du recourant, il apparaît qu’ils sont âgés de sept ans et de 17 mois, de sorte qu’un éventuel déplacement et une intégration en Côte d’Ivoire n’apparaît pas impossible. Si l’épouse du recourant devait ne pas le suivre, en raison par exemple du fait que les perspectives d’avenir pour ses enfants sont meilleures en Suisse qu’en Côte d’Ivoire, ils auront alors la possibilité de conserver les liens que permet la distance géographique (téléphones, visites durant les vacances, etc.; cf. ATF 2C_516/2012 du 17 octobre 2012 consid. 2.4.3, 2C_117/2012 du 11 juin 2012 consid. 4.5.3, 2C_758/2010 du 22 décembre 2010 consid. 6.3.2). Tout bien considéré, la protection de l'ordre public, compte tenu de la gravité des infractions commises, du nombre d’infractions commises et de l'importance des biens juridiquement protégés ayant été atteints, apparaît prépondérante par rapport à l'intérêt du recourant, de son épouse et de leurs enfants à voir leur vie familiale protégée. En effet, la présence de ses enfants, de même que celle de son épouse, ne l’ont pas empêché de continuer à commettre des infractions. Le recourant ne peut de toute évidence pas se prévaloir du comportement irréprochable nécessaire à la reconnaissance du respect de sa vie privée et familiale. Le recourant allègue parfaire ses aptitudes pour trouver un emploi, en effectuant notamment des stages de formation. Il n'a donc pas acquis de situation enviable dont la privation ne pourrait pas lui être imposée. Pour ce qui est de sa réintégration dans son pays d'origine, même si elle ne sera pas aisée, elle ne devrait pas entraîner de difficultés insurmontables. Le recourant est jeune, apparemment en bonne santé et pourra compter sur le soutien de sa famille. 6. Il résulte des considérants qui précèdent que le recours doit être rejeté et la décision attaquée maintenue. Il appartiendra au SPOP de fixer un nouveau délai de départ au recourant. Vu le sort de la cause, les frais de justice sont mis à la charge du recourant (art. 49 al. 1 LPA-VD) et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