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PE.2014.0262 vom 6. Mai 2015</w:t>
      </w:r>
    </w:p>
    <w:p>
      <w:r>
        <w:t>VD Tribunal cantonal, 2015-05-06, FR</w:t>
      </w:r>
    </w:p>
    <w:p>
      <w:r>
        <w:rPr>
          <w:b/>
        </w:rPr>
        <w:t xml:space="preserve">Quelle: </w:t>
      </w:r>
      <w:r>
        <w:t>https://mcp.opencaselaw.ch/entscheid/vd_omni_PE.2014.0262</w:t>
      </w:r>
    </w:p>
    <w:p>
      <w:r>
        <w:t>FR: VD_OMNI PE.2014.0262 du 6 mai 2015</w:t>
      </w:r>
    </w:p>
    <w:p>
      <w:r>
        <w:t>IT: VD_OMNI PE.2014.0262 del 6 maggio 2015</w:t>
      </w:r>
    </w:p>
    <w:p>
      <w:pPr>
        <w:pStyle w:val="Heading2"/>
      </w:pPr>
      <w:r>
        <w:t>Regeste</w:t>
      </w:r>
    </w:p>
    <w:p>
      <w:r>
        <w:t>A. X.________ /Service de la population (SPOP) | Confirmation de la révocation de l'autorisation de séjour délivrée à une ressortissante brésilienne à la suite de son mariage avec un ressortissant communautaire. La vie commune a duré moins de trois ans et les époux vivent durablement séparés. Les raisons personnelles majeures invoquées à l'appui de la poursuite de son séjour en Suisse ne sont pas prouvées. Au surplus, aucun lien de dépendance ne subsiste entre la recourante et sa fille, mariée, qui vit en Suisse.</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1.3</w:t>
      </w:r>
    </w:p>
    <w:p>
      <w:r>
        <w:t>p. 287; arrêt 2C_117/2012 du 11 juin 2012 consid. 4.4.1). Les relations visées par l'art. 8 CEDH sont avant tout celles qui existent entre époux, ainsi que les relations entre parents et enfants mineurs vivant en ménage commun (ATF 135 I 143 consid. 1.3.2 p. 146; 127 II 60 consid. 1d/aa p. 65; 2C_40/2012 du 15 octobre 2012 consid. 8).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arrêt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 arrêts 2D_139/2008 du 5 mars 2009 consid. 2.2; 2A.150/2006 du 4 avril 2006 consid. 2.2). b) En l’espèce, aucun élément du dossier ne permet de retenir qu’un lien de dépendance subsisterait entre la recourante et sa fille D., majeure, qui est mariée et vit à 3******** au bénéfice d’une autorisation de séjour. Du reste, la recourante elle-même ne l’allègue nullement. Elle ne peut donc pas se prévaloir de l'art. 8 § 1 CEDH pour justifier de la poursuite de son séjour en Suisse.</w:t>
      </w:r>
    </w:p>
    <w:p>
      <w:r>
        <w:rPr>
          <w:b/>
        </w:rPr>
        <w:t>E. 2</w:t>
      </w:r>
    </w:p>
    <w:p>
      <w:r>
        <w:t>La loi fédérale du 16 décembre 2005 sur les étrangers (LEtr; RS 142.20) n'est applicable aux membres de la famille des ressortissants des Etats membres de la Communauté européenne que dans la mesure où l'Accord entre la Communauté européenne et ses Etats membres, d'une part, et la Confédération suisse, d'autre part, sur la libre circulation des personnes conclu le 21 juin 1999 et entré en vigueur le 1 er juin 2002 (ALCP; RS 0.142.112.681) n'en dispose pas autrement ou lorsque la loi fédérale prévoit des dispositions plus favorables (art. 2 al. 2 LEtr). a) Le conjoint d'une personne ressortissante d'une partie contractante ayant un droit de séjour et ses descendants ont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arrêts 2C_1069/2013 du 17 avril 2014 consid. 4.2;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Pour les ressortissants d'Etats non-membres de l’UE ou de l'AELE (ressortissants d'Etats tiers), la poursuite du séjour en Suisse après dissolution du mariage ou en cas de maintien abusif d’un mariage qui n’est plus que fictif est régie par les dispositions de la LEtr et ses ordonnances d'exécution (Secrétariat d’Etat aux migrations [ SEM ] , Directive concernant l'introduction progressive de la libre circulation des personnes [Directives OLCP], avril 2015, p. 109) . b) En l'espèce, la recourante et son conjoint vivent séparés à tout le moins depuis le 18 mai 2012. Aucune reprise de la vie commune n'est envisagée. En raison de la rupture définitive de l'union conjugale, la recourante ne peut ainsi se prévaloir des art. 7 let. d ALCP et 3 par. 1 annexe I ALCP en matière de regroupement familial avec son conjoint, ce qu'elle ne fait d'ailleurs pas.</w:t>
      </w:r>
    </w:p>
    <w:p>
      <w:r>
        <w:rPr>
          <w:b/>
        </w:rPr>
        <w:t>E. 3</w:t>
      </w:r>
    </w:p>
    <w:p>
      <w:r>
        <w:t>a)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Le conjoint d’un ressortissant de l’UE/AELE, lui-même ressortissant d’un Etat tiers, peut se prévaloir de cette disposition, qui confère à certaines conditions un droit au conjoint et aux enfants à la prolongation de leur autorisation de séjour obtenue en vertu des art. 42 et 43 LEtr (ATF 2C_886/2011 du 28 février 2012 consid. 4). L'art. 77 al. 1 let. a de l'ordonnance du 24 octobre 2007 relative à l'admission, au séjour et à l'exercice d'une activité lucrative (OASA; 142.201) a la même teneur que l’art. 50 al. 1 let. a LEtr. L'art. 77 al. 1 OASA se distingue cependant de l'art. 50 al. 1 LEtr en ce qu'il ne consacre pas un droit à l'octroi ou au renouvellement de l'autorisation, mais offre à l'autorité cantonale un certain pouvoir d'appréciation (cf. Martina Caroni, in: Bundesgesetz über die Ausländerinnen und Ausländer, Berne 2010, n. 7 ad art. 50, p. 473). Les motifs de l'art. 77 OASA doivent en revanche être interprétés de manière identique à ceux de l'art. 50 al. 1 LEtr (arrêts PE.2011.358 du 30 décembre 2011; PE.2010.0038 du 24 novembre 2011 consid. 3 et PE.2010.0306 du 24 août 2011 consid. 3; v. en outre Directives du SEM, I. Domaine des étrangers, version du 13 février 2015, ch. 6.15.1 ). b) Les deux conditions consacrées par les art. 50 al. 1 let. a LEtr et 77 al. 1 let. a OASA sont cumulatives (ATF 2C_87/2014 du 27 octobre 2014 consid. 4.1; 136 II 113 consid. 3.3.3). La durée de l'union conjugale d'au moins trois ans se calcule en fonction de la durée pendant laquelle les époux ont fait ménage commun en Suisse (ATF 2C_418/2013 du 15 août 2013 consid. 4.1; 138 II 229 consid. 2 p. 231; 136 II 113 consid. 3.3.5 p. 120; 2C_430/2011 du 11 octobre 2011 consid. 4.1) et vaut de façon absolue, quand bien même la fin de la vie conjugale serait intervenue quelques jours ou semaines seulement avant l'expiration du délai (ATF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i.f. et 3.3 p. 117 ss). Cette limite de trente-six mois est absolue et ne peut être assouplie, même de quelques jours (ATF 2C_594/2010 du 24 novembre 2010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2C_748/2011 du 11 juin 2012 consid. 2.1). Dans le calcul de sa durée, il y a surtout lieu de prendre en compte la période durant laquelle les époux ont fait ménage commun d'une manière perceptible par les tiers (ATF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(ATF 2C_1258/2012 du 2 août 2013 consid. 4.1; 2C_748/2011 précité, consid. 2.1). En outre, c’est seulement dans l’hypothèse où elles sont entrecoupées de périodes de vie commune à l’étranger que les différentes périodes de vie commune en Suisse entrent dans le calcul de la durée minimale de trois ans; dans tous les autres cas, cette durée doit être vécue de manière ininterrompue (ATF 2C_556/2011 du 6 juillet 2011 consid. 2.2). c) Le principe d'intégration veut que les étrangers dont le séjour est légal et durable participent à la vie économique, sociale et culturelle de la Suisse (art. 4 al. 2 LEtr; cf. ATF 2C_329/2012 du 29 juin 2012 consid. 2.2; 2C_997/2011 du 3 avril 2012 consid. 4.3; 134 II 1 consid. 4.1, traduit et résumé in: RDAF 2009 I 543). En vertu de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(ATF 2C_329/2012 du 29 juin 2012 consid. 2.2; 2C_997/2011 du 3 avril 2012 consid. 4.3; 2C_749/2011 du 20 janvier 2012 consid. 3.2, et la référence citée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(cf. ATF 2C_329/2012 du 29 juin 2012 consid. 2.2; 2C_749/2011 du 20 janvier 2012 consid. 3.3; 2C_426/2011 du 30 novembre 2011 consid. 3.3, et les références citées). d) En l’occurrence, la recourante ne réalise pas la première des deux conditions cumulatives de l’art. 77 al. 1 let. a OASA. En effet, le dies a quo du délai de trois ans est le jour où celle-ci a rejoint son époux en Suisse et qu’une autorisation de séjour lui a été délivrée, soit le 28 octobre 2010. Or, les époux ont cessé la vie commune pour vivre durablement séparés à compter du 18 mai 2012. Par conséquent, l’on peut laisser indécis le point de savoir si la recourante s’est bien intégrée en Suisse.</w:t>
      </w:r>
    </w:p>
    <w:p>
      <w:r>
        <w:rPr>
          <w:b/>
        </w:rPr>
        <w:t>E. 4</w:t>
      </w:r>
    </w:p>
    <w:p>
      <w:r>
        <w:t>Il reste toutefois à examiner si la poursuite du séjour de la recourante en Suisse pourrait néanmoins s'imposer pour des raisons personnelles majeures, au sens des art. 50 al. 1 let. b LEtr et 77 al. 1 let. b OASA, comme elle le soutient. Les raisons personnelles majeures visées aux dispositions précitées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C'est la situation personnelle de l'intéressé qui est décisive; il s’agit simplement d’examiner si l’obligation de l'étranger de quitter la Suisse après l'échec du mariage affecte in concreto sa situation personnelle (ATF 138 II 229 consid. 3; ATF 137 II 345 consid. 3.2.1). a)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condition qui est en principe réalisée lorsque la personne admise dans le cadre du regroupement familial est sérieusement mise en danger dans sa personnalité du fait de la vie commune (ATF 138 II 229 consid. 3.2.1 p. 233; 136 II 1 consid. 5.3 p. 4; ATF 2C_759/2010 du 28 janvier 2011 consid. 5.2.1; 2C_590/2010 du 29 novembre 2010 consid. 2.5.3) ; elle peut être de nature tant physique que psychique (ATF 2C_784/2013 du 11 février 2014 consid. 4.1, et les références citées). La maltraitance doit en principe revêtir un caractère systématique ayant pour but d'exercer pouvoir et contrôle sur la victime. Une gifle unique ou des insultes échangées au cours d'une dispute dont l'intensité augmente ne suffisent pas (ATF 138 II 229 consid. 3.2.1 et 3.2.2 p. 232 ss, et les références citées). La violence conjugale doit par conséquent revêtir une certaine intensité. Cela a été nié dans un cas où la recourante avait allégué avoir reçu une gifle au cours d'une dispute conjugale et avoir été chassée du domicile conjugal (ATF 2C_358/2009 du 10 décembre 2009 consid. 5.2). Il en a été de même dans le cas d'un recourant qui affirmait avoir été une fois enfermé dehors par son épouse qui avait fait changer le cylindre de la porte d'entrée (ATF 2C_377/2010 du 28 juillet 2010 consid. 4.3). Le Tribunal fédéral a par ailleurs considéré qu'un acte de violence isolé, mais particulièrement grave, tel qu'une tentative de meurtre, pouvait à lui seul conduire à admettre l'existence de raisons personnelles majeures au sens de l'art. 50 al. 1 let. b et al. 2 LEtr (ATF 2C_590/2010, précité, consid. 2.5.2). L'art. 77 OASA prévoit que si la violence conjugale est invoquée, les autorités compétentes peuvent demander des preuves (al. 5). En effet, l'étranger est soumis à un devoir de collaboration étendu dans l'établissement des faits en lien avec sa vie personnelle,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A cela s’ajoute que, l ors de l'examen des raisons personnelles majeures visées à l'al. 1, let. b, et à l'art. 50, al. 1, let. b, LEtr, les autorités compétentes tiennent compte des indications et des renseignements fournis par des services spécialisés (art. 77 al. 6 bis OASA). Le ressortissant étranger ne peut cependant pas se contenter de simples allégations ou du renvoi à des tensions ponctuelles (ATF 2C_196/2014 du 19 mai 2014 consid. 3.2; 2C_784/2013 du 11 février 2014 consid. 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 p. 235, RDAF 2013 I 532, spé. 533). b)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c) En l’espèce, la recourante reprend les explications qu’elle a déjà fournies aux enquêteurs, tant à l’appui de sa plainte pénale que dans le cadre de l’examen de sa situation administrative. Or, ces explications ont été contestées par C. Z.________. La recourante a produit à cet égard deux attestations, l’une de la fondation H.________, au sein de laquelle elle a été accueillie du 18 mai au 31 juillet 2012, l’autre du centre LAVI qui l’a reçue en consultation le 12 juin 2012. Il ressort de ces deux attestations qu’ C. Z.________ aurait exercé sur la recourante des violences tant physiques que psychiques et ceci, de manière systématique. A cela s’ajoute qu’ C. Z.________ aurait sciemment négligé son obligation de contribuer à l’entretien du ménage. Cette conjonction de facteurs aurait rendu la vie commune insupportable. Il n’en demeure pas moins que ce s deux documents, dont l’un émane sans doute d’un service spécialisé dans l’aide aux victimes, ne rapportent que les propres déclarations de la recourante. Aucune investigation ne semble avoir été menée par les institutions ayant reçu la recourante et le contenu de ces deux attestations ne sont pas confirmées par d’autres éléments du dossier. En particulier, la recourante n’allègue, ni ne prouve avoir fait l’objet d’un suivi médical ou psychologique. Elle a sans doute fait état d’une intervention policière précédant sa plainte du 25 mai 2012 et d’un suivi du Service de protection de la jeunesse concernant son fils F.; c’est toutefois en vain que l’on cherche au dossier une trace de ces deux rapports. De même, la recourante n’a pas offert en preuve la déposition de ses proches ou de ses voisins. En outre, la plainte pénale dont elle avait saisi le Ministère public a été classée. Dès lors, la maltraitance conjugale invoquée par la recourante à l’appui de ses conclusions n’est pas établie à satisfaction de droit. Quant au critère des difficultés de réintégration dans le pays d'origine, celui-ci n’est pas réalisé en l’espèce. En effet, la recourante a passé à tout le moins les trente premières années de sa vie au Brésil, où vivent deux de ses enfants majeurs. Elle doit ainsi nécessairement bénéficier de réseaux de solidarité familial et amical sur place qu’elle serait susceptible de réactiver en cas de retour au pays (cf. ATF 2C_1188/2012 du 17 avril 2013 consid. 4). Même si la situation économique y reste plus précaire qu’en Suisse, on rappellera que la recourante, qui est âgée de quarante-cinq ans a effectué l’ensemble de sa scolarité dans son pays d’origine et maîtrise parfaitement la langue et les coutumes locales; force est d’admettre qu’elle détient toutes les cartes pour assurer sa subsistance. Il n’y a dès lors pas lieu de penser que son absence prolongée ou son statut de femme séparée ou divorcée seraient susceptibles de la pénaliser par rapport à ses compatriotes dans le cadre de la recherche d’un emploi (dans ce sens, ATF 2C_289/2012 du 12 juillet 2012 consid. 4.2.5). Au surplus, selon la jurisprudence précitée, les raisons personnelles majeures pouvant donner lieu à l’octroi (ou au renouvellement) d’une autorisation de séjour ne sauraient toutefois être fondées sur des circonstances générales affectant l’ensemble de la population. Certes, sa fille vit à 3********, où elle est mariée. En outre, elle a obtenu en mars 2014 un emploi d’aide-infirmière au sein de la fondation I.________, de sorte qu’elle ne dépend plus depuis lors des services sociaux. Mis à part ces deux éléments, qui à eux seuls ne sont pas décisifs, la recourante ne fait pas état de possibles difficultés de réintégration dans son pays d’origine. Enfin, les liens sociaux que la recourante aurait tissés en Suisse ne constituent pas des éléments lui permettant de se prévaloir d’attaches particulièrement étroites avec la Suisse. Sa situation ne diffère pas fondamentalement de celles de ses compatriotes rentrés au pays après plusieurs années passées à l’étranger. La recourante ne se prévaut pas non plus de circonstances particulières qui l'exposeraient à un danger en cas de retour au Brésil, ce qui exclut en outre l’application de l'art. 30 al. 1 let. b LEtr, à teneur duquel il est possible de déroger aux conditions d'admission (art. 18 à 29 LEtr), en particulier pour tenir compte des cas individuels d'une extrême gravité. d) Force est ainsi de constater que la continuation du séjour de la recourante en Suisse ne s'impose pas pour des raisons personnelles majeures.</w:t>
      </w:r>
    </w:p>
    <w:p>
      <w:r>
        <w:rPr>
          <w:b/>
        </w:rPr>
        <w:t>E. 5</w:t>
      </w:r>
    </w:p>
    <w:p>
      <w:r>
        <w:t>a) Bien que cela ne soit pas évoqué, on observe par ailleurs que la recourante ne peut davantage invoquer en sa faveur l’art. 8 § 1 CEDH pour s'opposer à une éventuelle séparation de sa famille. On rappelle que cet article s'applique en effet lorsqu'un étranger fait valoir une relation intacte et effective avec ses enfants bénéficiant du droit de résider en Suisse, même si ceux-ci ne sont pas placés sous son autorité parentale ou sa garde du point de vue du droit de la famille (ATF 2C_329/2012 du 29 juin 2012 consid. 3.1). Encore faut-il, pour pouvoir invoquer cette disposition, que la relation entre l'étranger et une personne de sa famille ayant le droit de résider durablement en Suisse soit étroite et effective (ATF 137 I 284 consid.</w:t>
      </w:r>
    </w:p>
    <w:p>
      <w:r>
        <w:rPr>
          <w:b/>
        </w:rPr>
        <w:t>E. 6</w:t>
      </w:r>
    </w:p>
    <w:p>
      <w:r>
        <w:t>Il résulte des considérants qui précèdent que le recours doit être rejeté et la décision querellée, confirmée. Un émolument judiciaire sera mis à la charge de la recourante, qui succombe (art. 49 al. 1 et 91 LPA-VD). Pour le même motif,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