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PE.2014.0250 vom 27. November 2014</w:t>
      </w:r>
    </w:p>
    <w:p>
      <w:r>
        <w:t>VD Tribunal cantonal, 2014-11-27, FR</w:t>
      </w:r>
    </w:p>
    <w:p>
      <w:r>
        <w:rPr>
          <w:b/>
        </w:rPr>
        <w:t xml:space="preserve">Quelle: </w:t>
      </w:r>
      <w:r>
        <w:t>https://mcp.opencaselaw.ch/entscheid/vd_omni_PE.2014.0250</w:t>
      </w:r>
    </w:p>
    <w:p>
      <w:r>
        <w:t>FR: VD_OMNI PE.2014.0250 du 27 novembre 2014</w:t>
      </w:r>
    </w:p>
    <w:p>
      <w:r>
        <w:t>IT: VD_OMNI PE.2014.0250 del 27 novembre 2014</w:t>
      </w:r>
    </w:p>
    <w:p>
      <w:pPr>
        <w:pStyle w:val="Heading2"/>
      </w:pPr>
      <w:r>
        <w:t>Regeste</w:t>
      </w:r>
    </w:p>
    <w:p>
      <w:r>
        <w:t>A. X.________/Service de la population (SPOP) | Refus d'octroyer une autorisation de séjour pour cinq ans à un ressortissant d'un Etat communautaire, qui ne démontre pas avoir les ressources suffisantes pour subvenir à ses besoins. Le recourant fait valoir un contrat pour des missions de courte durée, mais sans produire aucune fiche de salaire. Il ne dispose pas d'un revenu correspondant au forfait d'entretien minimal de 986 fr. pour une personne seule. Admission partielle du recours, car le SPOP s'est déclaré prêt, en cours de procédure, à accorder au recourant une autorisation de courte durée. Recours au TF rejeté (2C_1137/2014 du 6 août 2015).</w:t>
      </w:r>
    </w:p>
    <w:p>
      <w:pPr>
        <w:pStyle w:val="Heading2"/>
      </w:pPr>
      <w:r>
        <w:t>Erwägungen</w:t>
      </w:r>
    </w:p>
    <w:p>
      <w:r>
        <w:rPr>
          <w:b/>
        </w:rPr>
        <w:t>E. 1</w:t>
      </w:r>
    </w:p>
    <w:p>
      <w:r>
        <w:t>a) Aux termes de l’art. 83 de la loi du 28 octobre 2008 sur la procédure administrative (LPA-VD, RSV 173.36), applicable dans la procédure devant le Tribunal cantonal par renvoi de l’art. 99 de la même loi, l’autorité intimée peut, en lieu et place de ses déterminations, rendre une nouvelle décision partiellement ou totalement à l’avantage du recourant (al. 1); l’autorité poursuit l’instruction du recours, dans la mesure où celui-ci n’est pas devenu sans objet (al. 2). b) Le SPOP s’est déclaré prêt à accorder au recourant une nouvelle autorisation de séjour (CE/AELE) de courte durée. En cela, il est revenu sur la décision attaquée. Le recourant ayant conclu, en cours de procédure, à l’octroi d’une autorisation de séjour pour une durée de cinq ans, le recours n’a toutefois pas perdu son objet.</w:t>
      </w:r>
    </w:p>
    <w:p>
      <w:r>
        <w:rPr>
          <w:b/>
        </w:rPr>
        <w:t>E. 2</w:t>
      </w:r>
    </w:p>
    <w:p>
      <w:r>
        <w:t>Ressortissant britannique, le recourant se prévaut de l'Accord du 21 juin 1999 entre, d'une part, la Confédération suisse, et, d'autre part, la Communauté européenne et ses Etats membres sur la libre circulation des personnes (ALCP; RS 0.142.112.681). a)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autrement ou lorsque la LEtr prévoit des dispositions plus favorables (art. 2 al. 2 LEtr). b) L'ALCP, entré en vigueur le 1 er juin 2002, a pour objectif d'accorder en faveur de leurs ressortissants, notamment un droit d'entrée, de séjour, d'accès à une activité économique salariée, sur le territoire des parties contractantes, selon l'art. 1 er let. a ALCP. L'art. 6 annexe I ALCP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Le niveau limité de cette rémunération, l’origine des ressources pour cette dernière, la productivité plus ou moins élevée de l’intéressé ou le fait qu’il n’accomplit qu’un nombre réduit d’heures de travail par semaine n’excluent pas qu’une personne soit reconnue comme "travailleur" (voir, en ce sens, arrêts Lawrie-Blum, précité, point 21). Pour être qualifiée de "travailleur", une personne doit néanmoins exercer des activités réelles et effectives, à l’exclusion d’activités tellement réduites qu’elles se présentent comme purement marginales et accessoires (voir, notamment, arrêt Petersen du 28 février 2013, C-544/11, point 30; arrêts du 23 mars 1982).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339, consid. 3.3. et 3.4 et les réf. citées;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II 339 consid. 3.4 p. 347 et les références citées).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131 II 339 consid. 3.4 p. 347 et les références citées). c) Les directives de l'ODM, relatives à l'ALCP, prévoient à leur chapitre 4 relatif aux conditions d'admission en vue de l'exercice d'une activité lucrative en Suisse, dans leur version au 1 er août 2012,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II.5.2.4 et II.8.2), auquel cas l'autorisation peut ne pas être délivrée." Comme l'a constaté un arrêt récent, ces directives ne mentionnent plus que le temps de travail hebdomadaire doit s'élever à douze heures au moins (arrêt PE.2012.0158 du 11 octobre 2012 consid. 3b). Dans son arrêt du 22 juillet 2014, le Tribunal cantonal avait, au regard des dispositions de l’ALCP, estimé suffisant, pour une personne seule, un revenu net de 978,25 fr. par mois (cause PE.2014.0071). En revanche, il avait dénié le droit à une autorisation de séjour, au regard de l’ALCP, à des ressortissants communautaires sans emploi, au chômage, dépendant du revenu d’insertion ou d’une rémunération insuffisante (arrêts PE.2013.0117 du 6 juin 2014; PE.2013.0269 du 3 mars 2014; PE.2012.0308 du 8 janvier 2014; PE.2013.0093 du 8 octobre 2013). d) A l’appui de son écriture du 25 septembre 2014, le recourant a produit un contrat de mission, conclu le 6 mai 2014 avec la société Z.________ SA. D’une durée indéterminée, ce contrat que le recourant est mis à la disposition de C. D.________ comme aide-monteur d’échafaudages, pour des missions de 4 à 9 heures par jour, pour une rémunération totale de 28,09 fr. par heure. Le recourant ne dit pas combien cette activité, certainement pas équivalente à un contrat de travail, doit être considérée comme réelle et effective. En particulier, il ne produit aucune fiche de salaire pour la période allant de mai à septembre 2014. Il n’indique ni ses revenus, ni ses charges (loyer, primes d’assurance, impôts, taxes, etc.). Dès lors, le recourant n’a pas prouvé disposer des du forfait d’entretien minimal déterminé selon les normes de la Conférence suisse des institutions d'action sociale (CSIAS), soit 986 fr. pour une personne. Une autorisation de séjour de longue durée, fondée sur l’ALCP, ne peut lui être octroyée. e) Il convient de prendre acte de ce que le SPOP s’est déclaré prêt à octroyer au recourant une autorisation de courte durée, fondée sur l’ALCP.</w:t>
      </w:r>
    </w:p>
    <w:p>
      <w:r>
        <w:rPr>
          <w:b/>
        </w:rPr>
        <w:t>E. 3</w:t>
      </w:r>
    </w:p>
    <w:p>
      <w:r>
        <w:t>Le recours doit ainsi être admis partiellement. La conclusion du recourant tendant à l’octroi d’une autorisation de séjour pour cinq ans est rejetée. Le SPOP accordera au recourant, comme il s’y est engagé le</w:t>
      </w:r>
    </w:p>
    <w:p>
      <w:r>
        <w:rPr>
          <w:b/>
        </w:rPr>
        <w:t>E. 5</w:t>
      </w:r>
    </w:p>
    <w:p>
      <w:r>
        <w:t>septembre 2014, une autorisation de séjour de courte durée. Le recours est admis en ce sens que l’ordre de renvoi, assorti à la décision attaquée, est annulé. Compte tenu de l’issue du litige, il est statué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