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PE.2014.0242 vom 13. Februar 2015</w:t>
      </w:r>
    </w:p>
    <w:p>
      <w:r>
        <w:t>VD Tribunal cantonal, 2015-02-13, FR</w:t>
      </w:r>
    </w:p>
    <w:p>
      <w:r>
        <w:rPr>
          <w:b/>
        </w:rPr>
        <w:t xml:space="preserve">Quelle: </w:t>
      </w:r>
      <w:r>
        <w:t>https://mcp.opencaselaw.ch/entscheid/vd_omni_PE.2014.0242</w:t>
      </w:r>
    </w:p>
    <w:p>
      <w:r>
        <w:t>FR: VD_OMNI PE.2014.0242 du 13 février 2015</w:t>
      </w:r>
    </w:p>
    <w:p>
      <w:r>
        <w:t>IT: VD_OMNI PE.2014.0242 del 13 febbraio 2015</w:t>
      </w:r>
    </w:p>
    <w:p>
      <w:pPr>
        <w:pStyle w:val="Heading2"/>
      </w:pPr>
      <w:r>
        <w:t>Regeste</w:t>
      </w:r>
    </w:p>
    <w:p>
      <w:r>
        <w:t>X.______________ c/Service de la population (SPOP) | Ressortissant ivoirien sollicitant la délivrance d'une autorisation de séjour pour l'exercice d'une activité lucrative indépendante en qualité de marchand de fruits et légumes. Le recourant n'a pas établi que son activité servirait les intérêts économiques de la Suisse; il ne remplit par ailleurs aucune condition permettant de déroger à l'exigence de qualifications personnelles.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ressortissant de Côte-d'Ivoire, ne peut pas invoquer de traité en sa faveur. Le recours s'examine dès lors uniquement au regard du droit interne, soit de la loi fédérale du 16 décembre 2005 sur les étrangers (LEtr; RS 142.20) et ses dispositions d'application. b)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er let. a OASA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 ne se fonde pas sur un autre motif que l'exercice d'une activité lucrative, le SPOP est lié par le refus du SDE, conformément à la pratique et à la jurisprudence constante (cf. notamment arrêts PE.2012.0167 du 22 août 2012 consid. 3; PE.2012.0113 du 11 avril 2012 consid. 3a). c) En l'espèce, la décision attaquée se réfère à la décision du SDE du 6 février 2014, qui n’a pas été contestée. L’autorité intimée n’avait ainsi pas d’autre choix que de rejeter la demande d’autorisation de séjour du recourant, qui ne bénéficie par ailleurs d'aucun droit de séjour en Suisse découlant du droit interne ou du droit international.</w:t>
      </w:r>
    </w:p>
    <w:p>
      <w:r>
        <w:rPr>
          <w:b/>
        </w:rPr>
        <w:t>E. 3</w:t>
      </w:r>
    </w:p>
    <w:p>
      <w:r>
        <w:t>Le SPOP, s’estimant à juste titre lié par la décision du SDE, n’a donc pas procédé à l'examen de la question sur le fond. Même si le recours avait été dirigé contre la décision du SDE, il aurait dû tout de même être rejeté pour les raisons suivantes : a) Aux termes de l’art. 19 LEtr, un étranger peut être admis en vue de l’exercice d’une activité lucrative indépendante aux conditions suivantes : son admission sert les intérêts économiques du pays (let. a), les conditions financières et les exigences relatives à l’exploitation de l’entreprise sont remplies (let. b), les conditions fixées aux art. 20 et 23 à 25 sont remplies (let. c).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de l' ordonnance du 24 octobre 2007 relative à l'admission, au séjour et à l'exercice d'une activité lucrative (OASA; RS 142.201) précise que les cantons peuvent délivrer des autorisations de séjour pour des séjours en vue d'exercer une activité lucrative d'une durée supérieure à un an, dans les limites des nombres maximums fixés à l'annexe 2, ch. 1, let. a. 23 LEtr.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 D'après les directives de l'Office fédéral des migrations (actuellement le Secrétariat d’Etat aux migrations) dans le domaine des étrangers (séjour avec activité lucrative, état au 1 er juillet 2014), les requêtes tendant à l'octroi d'une autorisation de séjour pour activité lucrative indépendante sont soumises à un examen des conditions relatives au marché du travail selon l'art. 19 LEtr et peuvent être admises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ou génère de nouveaux mandats pour l’économie helvétique (ch. 4.7.2.1).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(ch. 4.7.2.3, voir aussi ch. 4.8.11 relatif aux annexes à joindre à la demande). c) En l’espèce, l’autorité intimée a considéré que l’activité lucrative indépendante envisagée par le recourant, à savoir le commerce de fruits et légumes, ne représentait pas un intérêt économique prépondérant pour la Suisse. Cette appréciation doit être confirmée. En effet, le recourant n'a pas établi que son activité de commerce de fruits et légumes servirait les intérêts économiques de la Suisse, c'est-à-dire qu'il contribuerait à la diversification de l’économie régionale dans la branche concernée, obtiendrait ou créerait des places de travail pour la main-d’oeuvre locale, procéderait à des investissements substantiels ou générerait de nouveaux mandats pour l’économie helvétique. Le recourant n'a par exemple pas prouvé - et ne l'a du reste pas même allégué - qu'il engagerait un ou plusieurs employés et créerait ainsi une ou plusieurs places de travail. Enfin, force est de constater que le recourant ne remplit également pas les conditions permettant de déroger à l'exigence de qualifications personnelles (art. 23 al. 3 LEtr): en effet, il n'occupe aucune des fonctions citées aux let. a à e de cette disposition; il ne le prétend du reste pas.</w:t>
      </w:r>
    </w:p>
    <w:p>
      <w:r>
        <w:rPr>
          <w:b/>
        </w:rPr>
        <w:t>E. 4</w:t>
      </w:r>
    </w:p>
    <w:p>
      <w:r>
        <w:t>S’agissant de l’argument relatif au projet de mariage du recourant avec Y._______________, celui-ci n’est pas, comme l’a relevé l’autorité intimée, relevant puisque aussi bien le recourant que sa compagne sont encore chacun mariés de leur côté.</w:t>
      </w:r>
    </w:p>
    <w:p>
      <w:r>
        <w:rPr>
          <w:b/>
        </w:rPr>
        <w:t>E. 5</w:t>
      </w:r>
    </w:p>
    <w:p>
      <w:r>
        <w:t>Quant à l’argument selon lequel le recourant ferait l’objet de menaces dans son pays d’origine, il ne saurait être pris en considération car il sort du champ de compétence du SDE, dont la décision lie l’autorité intimée, conformément aux art. 18 à 25 LEtr, 40 al. 2 LEtr et 88 OASA.</w:t>
      </w:r>
    </w:p>
    <w:p>
      <w:r>
        <w:rPr>
          <w:b/>
        </w:rPr>
        <w:t>E. 6</w:t>
      </w:r>
    </w:p>
    <w:p>
      <w:r>
        <w:t>Il résulte de ce qui précède que l'autorité intimée était fondée à considérer que le recourant ne remplissait pas les conditions à l'obtention d'une autorisation de séjour avec activité lucrative indépendante.</w:t>
      </w:r>
    </w:p>
    <w:p>
      <w:r>
        <w:rPr>
          <w:b/>
        </w:rPr>
        <w:t>E. 7</w:t>
      </w:r>
    </w:p>
    <w:p>
      <w:r>
        <w:t>Les considérants qui précèdent conduisent au rejet du recours et au maintien de la décision attaquée, aux frais du recourant,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