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PE.2014.0235 vom 21. Oktober 2014</w:t>
      </w:r>
    </w:p>
    <w:p>
      <w:r>
        <w:t>VD Tribunal cantonal, 2014-10-21, FR</w:t>
      </w:r>
    </w:p>
    <w:p>
      <w:r>
        <w:rPr>
          <w:b/>
        </w:rPr>
        <w:t xml:space="preserve">Quelle: </w:t>
      </w:r>
      <w:r>
        <w:t>https://mcp.opencaselaw.ch/entscheid/vd_omni_PE.2014.0235</w:t>
      </w:r>
    </w:p>
    <w:p>
      <w:r>
        <w:t>FR: VD_OMNI PE.2014.0235 du 21 octobre 2014</w:t>
      </w:r>
    </w:p>
    <w:p>
      <w:r>
        <w:t>IT: VD_OMNI PE.2014.0235 del 21 ottobre 2014</w:t>
      </w:r>
    </w:p>
    <w:p>
      <w:pPr>
        <w:pStyle w:val="Heading2"/>
      </w:pPr>
      <w:r>
        <w:t>Regeste</w:t>
      </w:r>
    </w:p>
    <w:p>
      <w:r>
        <w:t>A. X.________ Y.________/Service de la population (SPOP) | Ressortissante bolivienne mise au bénéfice d'une autorisation de séjour à la suite de son mariage avec un ressortissant portugais titulaire d'un permis C. Séparation après moins de 3 ans de vie commune, puis divorce. Révocation de l'autorisation de séjour de l'intéressée confirmée: aucune raison personnelle majeure n'impose la poursuite de son séjour en Suisse (elle ne séjourne en Suisse légalement que depuis 5 ans; son intégration ne sort pas de l'ordinaire; hormis son travail, elle n'a pas de liens particuliers avec la Suisse, passant la moitié de son temps en France chez le père de leur enfant). Recours rejeté.</w:t>
      </w:r>
    </w:p>
    <w:p>
      <w:pPr>
        <w:pStyle w:val="Heading2"/>
      </w:pPr>
      <w:r>
        <w:t>Erwägungen</w:t>
      </w:r>
    </w:p>
    <w:p>
      <w:r>
        <w:rPr>
          <w:b/>
        </w:rPr>
        <w:t>E. 1</w:t>
      </w:r>
    </w:p>
    <w:p>
      <w:r>
        <w:t>a) Aux termes de l'art. 92 al. 1 de la loi vaudoise du 28 octobre 2008 sur la procédure administrative (LPA-VD;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La recourante a requis, à titre de mesures d'instruction, la fixation d'une audience. a) Le droit d'être entendu, tel qu'il est garanti par l'art. 29 al. 2 de la Constitution fédérale du 18 avril 1999 (Cst.; RS 101),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 ATF 133 I 270 consid. 3.1 p. 277; 127 III 576 consid. 2c p. 578 s) .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et les références ). b) En l'espèce, la recourante a expliqué qu'elle souhaitait faire entendre des témoins sur sa situation personnelle et son intégration en Suisse. Ces éléments ne sont toutefois, comme on le verra ci-après, pas déterminants pour l'issue du litige. Il n'y a dès lors pas lieu de donner suite au complément d'instruction requis, le tribunal s'estimant suffisamment renseigné sur la base du dossier pour juger en toute connaissance de cause.</w:t>
      </w:r>
    </w:p>
    <w:p>
      <w:r>
        <w:rPr>
          <w:b/>
        </w:rPr>
        <w:t>E. 3</w:t>
      </w:r>
    </w:p>
    <w:p>
      <w:r>
        <w:t>a) Aux termes de son art. 2 al. 2, la LEtr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loi prévoit des dispositions plus favorables. Selon l'art. 3 par. 1, 1 ère phrase, annexe I ALCP, les membres de la famille d'une personne ressortissant d'une partie contractante ayant un droit de séjour ont le droit de s'installer avec elle. Sont notamment considérés comme membres de la famille, quelle que soit leur nationalité, son conjoint et leurs descendants de moins de 21 ans ou à charge (art. 3 par 2 let. a annexe I ALCP). b) En l'espèce, les époux Z.________ C.________- X.________ Y.________ se sont séparés en octobre 2011. Leur divorce a été prononcé au Portugal en novembre 2012. La recourante ne peut dès lors plus se prévaloir de l'art. 3 annexe I ALCP pour demeurer en Suisse. Un éventuel droit à la prolongation de son autorisation de séjour doit par conséquent être examiné au regard de la LEtr et des ordonnances d'exécution.</w:t>
      </w:r>
    </w:p>
    <w:p>
      <w:r>
        <w:rPr>
          <w:b/>
        </w:rPr>
        <w:t>E. 4</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(ATF 136 I 113 consid. 3.3.3). L'union conjugale au sens de l'art. 50 al. 1 let. a LEtr suppose l'existence d'une communauté conjugale effectivement vécue ( voir entre autres, arrêt PE.204.0142 du 17 juin 2014, ainsi que les références citées). La durée d'au moins trois ans requise se calcule depuis la date du mariage, à condition que la cohabitation ait lieu en Suisse, jusqu'à ce que les époux cessent d'habiter sous le même toit (ATF 136 II 133 consid. 3.2 i.f. et 3.3). La limite des trois ans est absolue et s'applique même s'il ne reste que quelques jours pour atteindre la durée des trente-six mois exigés (voir TF, arrêts 2C_195/2010 du 23 juin 2010, consid. 5.1, 2C_711/2009 du 30 avril 2010, consid. 2.3.1 et 2C_635//2009 du 26 mars 2010, consid. 5.2). La prétendue cohabitation des époux avant le mariage ne peut être prise en compte dans la durée de l'union conjugale (TF, arrêt précité 2C_195/2010, consid. 5.1 i.f.). b) En l'espèce, la recourante est entrée en Suisse le 26 avril 2009, après avoir célébré son mariage au Portugal. Elle s'est séparée de son mari en octobre 2011. La recourante ne peut ainsi se prévaloir d'une vie commune en Suisse de plus de trois ans. La première des conditions de l'art. 50 al. 1 let. a LEtr n'étant pas remplie, il n'est pas nécessaire d'examiner, à ce stade, si l'intégration est réussie (ATF 136 II 113 consid. 3.4) . La recourante ne peut dès lors pas invoquer l'application de l'art. 50 al. 1 let. a LEtr.</w:t>
      </w:r>
    </w:p>
    <w:p>
      <w:r>
        <w:rPr>
          <w:b/>
        </w:rPr>
        <w:t>E. 5</w:t>
      </w:r>
    </w:p>
    <w:p>
      <w:r>
        <w:t>a) L'art. 50 al. 1 let. b LEtr prévoit qu'après dissolution de la famille, le droit du conjoint à l’octroi d’une autorisation de séjour et à sa prolongation subsiste lorsque la poursuite du séjour en Suisse s'impose pour des raisons personnelles majeures. Cette disposition vise à régler les situations qui échappent à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p. 348; 137 II 1 consid. 4.1 p. 7). C'est la situation personnelle de l'intéressé qui est décisive et non l'intérêt public que revêt une politique migratoire restrictive. Il s’agit d’examiner si l’obligation de l'étranger d'avoir à quitter la Suisse après l'échec du mariage affecte in concreto sa situation personnelle (ATF 138 II 229 consid. 3; ATF 137 II 345 consid. 3.2.1).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consid. 3.2 p. 348 ss). L'art. 50 al. 2 LEtr – repris à l'art. 77 al. 2 de l'ordonnance fédérale du 24 octobre 2007 relative à l'admission, au séjour et à l'exercice d'une activité lucrative (OASA; RS 142.201) – précise que les raisons personnelles majeures visées à l'al.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Les raisons personnelles majeures doivent également être examinées sous l'angle de l'art. 30 al. 1 let. b LEtr et de l'art. 31 al. 1 OASA.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arrêt du Tribunal administratif fédéral C-2934/2010 du 20 novembre 2012 consid. 6.3).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2C_721/2010 du 8 mars 2011 consid. 2.1; 2C_759/2010, précité, consid. 5.2.1).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 TF, arrêt 2C_1000/2012 du 21 février 2013 consid. 5.2.1). Les éléments qui font obstacle à l'exécution du renvoi compromettent la réintégration sociale dans le pays de provenance et doivent par conséquent être pris en compte dans la procédure d'autorisation; il n'est pas admissible de renvoyer à cet égard à une éventuelle procédure d'asile ou d'exécution (ATF 137 II 345 consid. 3.2 p. 348 ss). b) En l'espèce, la recourante soutient que sa réintégration dans son pays d'origine serait fortement compromise. Elle invoque tout d'abord la durée de son séjour en Suisse. Il ressort du dossier que la recourante est arrivée une première fois en Suisse en septembre 2005. Elle y a séjourné et travaillé illégalement, ce qui lui a valu en juillet 2007 une interdiction d'entrée en Suisse. Elle a quitté ensuite notre pays à une date indéterminée. Elle y est revenue en avril 2009 après son mariage et a été mise en mai 2009 au bénéfice d'une autorisation de séjour par regroupement familial. Le séjour légal en Suisse de la recourante – les années vécues en Suisse dans l'illégalité n'étant pas prises en compte (ATF 130 II 39 consid. 3; ATF 124 II 110 consid. 3) – ne s'élève ainsi qu'à un peu plus de cinq ans, ce qui n'est pas particulièrement élevé et ne saurait suffire à lui seul à fonder un cas d'extrême gravité. La recourante se prévaut également de sa parfaite intégration. Elle expose maîtriser le français, avoir un emploi stable et fixe qui lui permet de subvenir à ses besoins sans recourir à l'aide sociale et s'être toujours conformée à l'ordre public. Ces éléments ne sont toutefois pas si exceptionnels qu'ils feraient apparaître disproportionné son retour en Bolivie (voir notamment TF, arrêt 2C_289/2012 du 12 juillet 2012 consid. 4.2 ) . En outre, hormis son travail, la recourante ne semble pas avoir de liens particuliers avec la Suisse. Elle passe en effet pour ainsi dire la moitié de son temps en France voisine, chez le père de leur enfant. Dans ses déterminations du 10 décembre 2013 au SPOP, elle a du reste expressément indiqué que ses attaches sentimentales se trouvaient en France, où elle vivait avec son concubin et leur enfant lorsqu'elle ne travaillait pas, et qu'elle n'avait en Suisse que des attaches financières. Depuis son divorce, son séjour en Suisse paraît ainsi essentiellement motivé par des raisons économiques. Or, de tels motifs ne sauraient justifier la délivrance d'une autorisation à titre exceptionnel sur la base de l'art. 50 al. 1 let. b LEtr. Quant à la crainte de la recourante de devoir retourner chez elle alors qu'un de ses agresseurs est retourné libre en Bolivie, elle n'est nullement étayée. L'intéressée n'établit notamment pas qu'elle aurait reçu des menaces sérieuses et concrètes de cet agresseur ou de sa famille suite à sa condamnation, ni que celui-ci résiderait dans la même région de Bolivie dont elle est originaire. La recourante ne peut dès lors pas se prévaloir non plus de l'application de l'art. 50 al. 1 let. b LEtr. Compte tenu de ses attaches en France, pays où se trouve le principal centre de ses intérêts, il appartiendra à l'intéressée, si elle le souhaite, d'entreprendre toute démarche utile pour régulariser sa situation sur le territoire de cet Etat voisin.</w:t>
      </w:r>
    </w:p>
    <w:p>
      <w:r>
        <w:rPr>
          <w:b/>
        </w:rPr>
        <w:t>E. 6</w:t>
      </w:r>
    </w:p>
    <w:p>
      <w:r>
        <w:t>Les considérants qui précèdent conduisent au rejet du recours et à la confirmation de la décision attaquée. La recourante, qui succombe, supportera les frais de justice (art. 49 al. 1 LPA-VD).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