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PE.2014.0187 vom 3. Juni 2014</w:t>
      </w:r>
    </w:p>
    <w:p>
      <w:r>
        <w:t>VD Tribunal cantonal, 2014-06-03, FR</w:t>
      </w:r>
    </w:p>
    <w:p>
      <w:r>
        <w:rPr>
          <w:b/>
        </w:rPr>
        <w:t xml:space="preserve">Quelle: </w:t>
      </w:r>
      <w:r>
        <w:t>https://mcp.opencaselaw.ch/entscheid/vd_omni_PE.2014.0187</w:t>
      </w:r>
    </w:p>
    <w:p>
      <w:r>
        <w:t>FR: VD_OMNI PE.2014.0187 du 3 juin 2014</w:t>
      </w:r>
    </w:p>
    <w:p>
      <w:r>
        <w:t>IT: VD_OMNI PE.2014.0187 del 3 giugno 2014</w:t>
      </w:r>
    </w:p>
    <w:p>
      <w:pPr>
        <w:pStyle w:val="Heading2"/>
      </w:pPr>
      <w:r>
        <w:t>Regeste</w:t>
      </w:r>
    </w:p>
    <w:p>
      <w:r>
        <w:t>A. X.________/Service de la population (SPOP) | Ressortissant tunisien mis au bénéfice d'une autorisation de séjour à la suite de son mariage avec une Suissesse. Le couple se sépare après plus de trois ans de vie commune, puis divorce. Refus confirmé du SPOP de prolonger l'autorisation de séjour de l'intéressé, respectivement de lui délivrer une autorisation d'établissement à titre anticipé. Le recourant ne peut en effet se prévaloir de l'art. 50 al. 1 let. a LEtr pour demeurer en Suisse: compte tenu de ses nombreuses dettes, de ses condamnations pénales et du fait qu'il n'a occupé depuis son arrivée en Suisse que de courts emplois ou est resté inactif, son intégration ne saurait être qualifiée de réussie. Il ne peut pas invoquer non plus l'art. 50 al. 1 let. b LEtr: malgré son séjour de 10 ans en Suisse, sa réintégration dans son pays d'origine, dans lequel il a vécu jusqu'à l'âge de 27 ans, ne saurait être considérée comme fortement compromise. Enfin, les conditions de l'art. 50 al. 3 LEtr en relation avec l'art. 34 al. 4 LEtr ne sont pas réalisées, faute d'intégration réussie. Recours au TF rejeté (arrêt 2C_602/2014 du 30 juin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des féries judiciaires. Il respecte au surplus les conditions formelles énoncées à l’art. 79 LPA-VD.</w:t>
      </w:r>
    </w:p>
    <w:p>
      <w:r>
        <w:rPr>
          <w:b/>
        </w:rPr>
        <w:t>E. 2</w:t>
      </w:r>
    </w:p>
    <w:p>
      <w:r>
        <w:t>a) L'art. 50 al. 1 let. a de la loi fédérale du 16 décembre 2005 sur les étrangers (LEtr; RS 142.20) dispose qu’après la dissolution de la famille, le droit du conjoint à l’octroi d’une autorisation de séjour et à la prolongation de sa durée de validité en vertu des art. 42 et 43 subsiste lorsque l’union conjugale a duré au moins trois ans et que l’intégration est réussie. Il s'agit de deux conditions cumulatives (ATF 136 I 113 consid. 3.3.3). L'union conjugale au sens de l'art. 50 al. 1 let. a LEtr suppose l'existence d'une communauté conjugale effectivement vécue (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La limite des trois ans est absolue et s'applique même s'il ne reste que quelques jours pour atteindre la durée des trente-six mois exigés (voir ATF 2C_195/2010 du 23 juin 2010, consid. 5.1, 2C_711/2009 du 30 avril 2010, consid. 2.3.1 et 2C_635/2009 du 26 mars 2010, consid. 5.2). La prétendue cohabitation des époux avant le mariage ne peut être prise en compte dans la durée de l'union conjugale (ATF 2C_195/2010 précité, consid. 5.1 i.f.). Le principe d'intégration veut que les étrangers dont le séjour est légal et durable participent à la vie économique, sociale et culturelle de la Suisse (art. 4 al. 2 LEtr; cf. ATF 134 II 1 consid. 4.1, traduit et résumé in: RDAF 2009 I 543; 2C_329/2012 du 29 juin 2012 consid. 2.2; 2C_997/2011 du 3 avril 2012 consid. 4.3). En vertu de l'art. 77 al. 4 de l'ordonnance fédérale du 24 octobre 2007 relative à l'admission, au séjour et à l'exercice d'une activité lucrative (OASA; RS 142.201),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 notamment " qui est employé tant à l'art. 77 al. 4 OASA qu'à l'art. 4 OIE, illustre le caractère non exhaustif des critères d'intégration qui sont énumérés par ces dispositions; il signale aussi que la notion d'" intégration réussie " doit s'examiner à l'aune d'une appréciation globale des circonstances (ATF 2C_329/2012 du 29 juin 2012 consid. 2.2; 2C_997/2011 du 3 avril 2012 consid. 4.3; 2C_749/2011 du 20 janvier 2012 consid. 3.2 et la référence citée ). Dans l'examen de ces critères d'intégration, les autorités compétentes disposent d'un pouvoir d'appréciation (cf. art. 54 al. 2 et 96 al. 1 LEtr et art. 3 OIE). Le Tribunal fédéral a relevé que lorsqu’on est en présence d'un étranger qui est intégré professionnellement en Suisse, qui a toujours été indépendant financièrement, soit qui n'a jamais recouru aux prestations de l'aide sociale, qui s'est comporté correctement, soit qui n'a pas contrevenu à l'ordre public, et qui maîtrise oralement la langue parlée au lieu du domicile, des éléments sérieux sont nécessaires pour nier son intégration au sens de l'art. 50 al. 1 let. a LEtr.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(ATF 2C_329/2012 du 29 juin 2012 consid. 2.2; 2C_749/2011 du 20 janvier 2012 consid. 3.3; 2C_426/2011 du 30 novembre 2011 consid. 3.3, et les références citées). b ) En l'espèce, il n'est pas contesté que l'union conjugale a duré plus de trois ans (du 23 avril 2005 au 1 er octobre 2009), de sorte que seule demeure litigieuse l'exigence d'une intégration réussie. Depuis son arrivée en Suisse, le recourant a alterné les périodes de courts emplois et d'inactivité. S'il n'a certes jamais dépendu de l'aide sociale, il a des dettes (en tout cas plus de 10'000 fr. auprès du CHUV et près de 15'000 fr. de frais de justice) et fait l'objet de poursuites. Il tente de les rembourser par acomptes mensuels de 50 francs. Le recourant a aussi fait l'objet de quatre condamnations pénales en un peu plus de deux ans, portant sur onze mois de peine privative de liberté et 210 jours-amende. Cette mauvaise situation financière du recourant, à laquelle s'ajoutent ses réitérées infractions à l'ordre public suisse et une très faible intégration au marché de l'emploi dénotent d'un manque d'intégration du recourant. C'est dès lors à juste titre que dans le cadre de son pouvoir d'appréciation, l'autorité intimée a considéré qu'en l'espèce, les conditions d'application de l'art. 50 al. 1 let. a LEtr n'étaient pas réunies.</w:t>
      </w:r>
    </w:p>
    <w:p>
      <w:r>
        <w:rPr>
          <w:b/>
        </w:rPr>
        <w:t>E. 3</w:t>
      </w:r>
    </w:p>
    <w:p>
      <w:r>
        <w:t>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L'art. 50 al. 2 LEtr – repris à l'art. 77 al. 2 de l'ordonnance fédérale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(cf. ATF 137 II 345 consid. 3.2.3 et 137 II 1 consid. 4.1; ég. arrêt du Tribunal administratif fédéral C-2934/2010 du 20 novembre 2012 consid. 6.3). En ce qui concerne les difficultés de réintégration dans le pays d'origine, il n'y a lieu d'y voir une raison personnelle majeure que lorsque celle-ci semble fortement compromise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Le Tribunal fédéral a par exemple considéré que le simple fait que le recourant, jeune homme en bonne santé, sans charge de famille et qui avait vécu la plus grande partie de sa vie au Togo, semblait relativement bien intégré en Suisse, qu'il avait un emploi stable en tant que portier dans un hôtel et qu'il n'avait pas de dettes, ne justifiait pas la prolongation de son autorisation de séjour pour des raisons personnelles majeures en application de l'art. 50 al. 1 let. b LEtr, même en retenant un séjour de sept ans en Suisse et le contexte difficile dans lequel il s'était séparé de son épouse (ATF 2C_1145/2012 du 27 novembre 2012). b) En l'espèce, le recourant ne prétend pas avoir été victime de violence conjugale. Il soutient en revanche qu'il ne pourra pas se réintégrer en Tunisie, compte tenu de la durée de son séjour en Suisse et de son intégration. Le recourant est arrivé en Suisse en 2005, à l'âge de 27 ans. Il a par conséquent passé toute son enfance et ses premières années d'adulte dans son pays d'origine, dont il maîtrise la langue et où il a sans doute gardé des attaches familiales et sociales. Il a acquis dans notre pays une expérience dans plusieurs métiers qu'il avait déjà exercés dans son pays, au Y.________ de 1********, avant son arrivée en Suisse. Il se retrouvera dans ces conditions d'autant plus compétitif sur le marché du travail tunisien à son retour. Pour tous ces motifs, le recourant ne devrait pas connaître de difficultés particulières pour se réintégrer dans son pays d'origine qu'il a quitté il y a moins de dix ans. C'est dès lors à juste titre que dans le cadre de son pouvoir d'appréciation, l'autorité intimée a considéré qu'en l'espèce, les conditions d'application de l'art. 50 al. 1 let. b LEtr n'étaient pas réunies.</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Les considérants qui précèdent conduisent au rejet du recours et à la confirmation de la décision attaquée. Compte tenu de la situation financière du recourant, qui se trouve en détention, il est renoncé à percevoir un émolument de justice (art. 50 LPA-VD) .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