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PE.2014.0183 vom 14. August 2014</w:t>
      </w:r>
    </w:p>
    <w:p>
      <w:r>
        <w:t>VD Tribunal cantonal, 2014-08-14, FR</w:t>
      </w:r>
    </w:p>
    <w:p>
      <w:r>
        <w:rPr>
          <w:b/>
        </w:rPr>
        <w:t xml:space="preserve">Quelle: </w:t>
      </w:r>
      <w:r>
        <w:t>https://mcp.opencaselaw.ch/entscheid/vd_omni_PE.2014.0183</w:t>
      </w:r>
    </w:p>
    <w:p>
      <w:r>
        <w:t>FR: VD_OMNI PE.2014.0183 du 14 août 2014</w:t>
      </w:r>
    </w:p>
    <w:p>
      <w:r>
        <w:t>IT: VD_OMNI PE.2014.0183 del 14 agosto 2014</w:t>
      </w:r>
    </w:p>
    <w:p>
      <w:pPr>
        <w:pStyle w:val="Heading2"/>
      </w:pPr>
      <w:r>
        <w:t>Regeste</w:t>
      </w:r>
    </w:p>
    <w:p>
      <w:r>
        <w:t>X.________/Service de la population (SPOP) | Confirmation du refus du SPOP d'entrer en matière sur une demande de réexamen. Lors de la précédente procédure, tant le SPOP que la CDAP ont tenu compte des différents emplois occupés par le recourant, de sorte qu'il ne s'agit pas de faits nouveaux. Ne constitue pas non plus un fait nouveau l'existence du fils du recourant né en mai 2013, puisqu'il aurait pu en informer la CDAP avant qu'elle statue le 3 août 2013. La question peut par contre se poser pour les deux autres enfants du recourant nés le 19 juillet 2001, mais dont l'acte de reconnaissance de paternité date du 19 août 2013. Elle peut toutefois rester indécise dans la mesure où ces enfants, comme celui né en mai 2013, vivent en France et n'ont pas d'autorisation de séjour en Suisse.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qu'on doit entrer en matière sur le fond.</w:t>
      </w:r>
    </w:p>
    <w:p>
      <w:r>
        <w:rPr>
          <w:b/>
        </w:rPr>
        <w:t>E. 2</w:t>
      </w:r>
    </w:p>
    <w:p>
      <w:r>
        <w:t>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L'hypothèse prévue sous l'art. 64 al. 2 let. b LPA-VD, couramment appelée révision au sens étroit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 CDAP PE.2013.0086 du 3 juin 2014).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(PE.2013.0086 déjà cité). b) La contestation porte sur les conditions d'un réexamen de la décision du SPOP du 3 mai 2013, confirmée par le Tribunal cantonal dans un arrêt entré en force. En l'espèce, le recourant relève que son intégration est réussie puisqu'il peut s'exprimer en français ou en allemand, qu'il a fréquenté l'école à 8******** pendant 18 mois, qu'il a suivi des cours de menuiserie en Valais, qu'il n'a malheureusement pas pu concrétiser son souhait de trouver une place d'apprentissage et obtenir un CFC de menuisier, mais qu'il a travaillé à de nombreuses reprises pour des agences temporaires, puis pendant presque deux ans pour la même entreprise, jusqu'à son licenciement pour restructuration. Aucun de ces éléments n'est nouveau. Le SPOP et le Tribunal ont d'ailleurs tenu compte des différents emplois occupés par le recourant lorsqu'ils ont examiné la question de son intégration en Suisse. Le Tribunal a expressément relevé que le recourant avait travaillé essentiellement comme aide-menuisier et qu'il avait alterné les périodes de travail avec celles durant lesquelles il s’est retrouvé sans emploi. Il a ainsi jugé que le parcours professionnel du recourant en Suisse n'était en rien exceptionnel. Ces éléments ne sauraient ainsi justifier le réexamen de la situation du recourant. Dans son arrêt du 5 août 2013, la Cour de droit administratif et public n'a pas mentionné, en revanche, que le recourant était également le père de trois autres enfants, prénommés D.________, E.________ et F.________. L'acte de naissance de F.________, né le ******** 2013, a été établi en France le 1 er juin 2013. Le recourant, qui avait écrit au Tribunal les 15 et 16 juillet 2013 dans le cadre de cette première procédure de recours, aurait pu mentionner la venue au monde de cet enfant; il ne l'a pas fait. Cette filiation n'est donc pas un fait nouveau découvert postérieurement à l'arrêt du 5 août 2013. Les enfants D.________ et E.________ sont pour leur part nés le ******** 2001. Il ressort toutefois de l'acte de reconnaissance de paternité que ce dernier a été établi le 19 août 2013. Il est dès lors théoriquement possible, quoique fortement douteux, que le recourant n'ait pas eu connaissance de l'existence de ces enfants ou du fait qu'il était leur père avant cette date. Il s'agirait alors d'un fait nouveau visé par l'art. 64 al. 2 let. b LPA-VD ("pseudo-nova") . Cette question peut cependant demeurer indécise dans la mesure où l'existence de ces trois enfants ne constitue de toute façon pas, du point de vue des règles sur la révision des décisions administratives, un fait important, qui serait de nature à influer la décision du refus d'autorisation de séjour du recourant. En effet, les actes de naissance et de reconnaissance de paternité produits montrent que ces trois enfants vivent en France. Ils ne disposent dès lors d'aucune autorisation de  séjour en Suisse, qui serait susceptible de fonder un droit de séjour pour le recourant, par regroupement familial. Faute d'éléments nouveaux déterminants, c'est à juste titre que l’autorité intimée n'est pas entrée en matière sur la demande de réexamen, subsidiairement l'a rejetée.</w:t>
      </w:r>
    </w:p>
    <w:p>
      <w:r>
        <w:rPr>
          <w:b/>
        </w:rPr>
        <w:t>E. 3</w:t>
      </w:r>
    </w:p>
    <w:p>
      <w:r>
        <w:t>Manifestement mal fondé, le recours doit être rejeté et la décision attaquée confirmée, sans qu'il soit nécessaire de procéder à un échange d'écritures (art. 82 al. 1 LPA-VD).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