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PE.2014.0163 vom 30. Oktober 2014</w:t>
      </w:r>
    </w:p>
    <w:p>
      <w:r>
        <w:t>VD Tribunal cantonal, 2014-10-30, FR</w:t>
      </w:r>
    </w:p>
    <w:p>
      <w:r>
        <w:rPr>
          <w:b/>
        </w:rPr>
        <w:t xml:space="preserve">Quelle: </w:t>
      </w:r>
      <w:r>
        <w:t>https://mcp.opencaselaw.ch/entscheid/vd_omni_PE.2014.0163</w:t>
      </w:r>
    </w:p>
    <w:p>
      <w:r>
        <w:t>FR: VD_OMNI PE.2014.0163 du 30 octobre 2014</w:t>
      </w:r>
    </w:p>
    <w:p>
      <w:r>
        <w:t>IT: VD_OMNI PE.2014.0163 del 30 ottobre 2014</w:t>
      </w:r>
    </w:p>
    <w:p>
      <w:pPr>
        <w:pStyle w:val="Heading2"/>
      </w:pPr>
      <w:r>
        <w:t>Regeste</w:t>
      </w:r>
    </w:p>
    <w:p>
      <w:r>
        <w:t>X.________/Service de la population (SPOP) | Autorisation de séjour en vue de mariage. Dès lors que l'art. 17 al. 2 LEtr exige que les conditions de délivrance de l'autorisation de séjour soient manifestement remplies, le requérant doit être autorisé à séjourner, respectivement poursuivre son séjour en Suisse lorsque les chances que l'autorisation soit délivrée apparaissent significativement plus élevées que celles de son refus (c. 1). En l'espèce, les fiancés sont largement dépendants de l'aide sociale. Le recourant a toutefois transmis avec le recours une promesse ferme d'engagement, moyennant un salaire brut de 4'500 fr. Cette rémunération apparaît suffisante à assurer la subsistance du couple, partant est susceptible de conduire à accorder au recourant une autorisation de séjour annuelle une fois le mariage célébré. Au vu de l'ensemble des circonstances, il ne se justifie pas de lui refuser une autorisation temporaire en vue de mariage, étant précisé que celle-ci ne constitue pas une garantie qu'une autorisation annuelle sera accordée, respectivement renouvelée après la cérémonie (c. 4). Le nombre d'heures de travail annoncé par l'avocat d'office apparaît largement excessif et doit être réduit. Il sera en revanche ajouté une indemnité forfaitaire de débours de 100 fr. (c. 5b).</w:t>
      </w:r>
    </w:p>
    <w:p>
      <w:pPr>
        <w:pStyle w:val="Heading2"/>
      </w:pPr>
      <w:r>
        <w:t>Erwägungen</w:t>
      </w:r>
    </w:p>
    <w:p>
      <w:r>
        <w:rPr>
          <w:b/>
        </w:rPr>
        <w:t>E. 1</w:t>
      </w:r>
    </w:p>
    <w:p>
      <w:r>
        <w:t>a) Selon l'art. 98 al. 4 CC, les fiancés qui ne sont pas citoyens suisses doivent établir la légalité de leur séjour en Suisse au cours de la procédure préparatoire (al. 4).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p. 360, confirmé in ATF 138 I 41 consid. 4 p. 47; arrêts 2C_643/2012 du 18 septembre 2012, consid. 3.1; 2C_117/2012 du 11 juin 2012 consid. 4.2). b) L'art. 17 LEtr,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LEtr, en particulier lorsqu'il existe déjà une vie familiale digne de protection au sens de l'art. 8 CEDH, à laquelle l'application de l'art. 17 al. 1 LEtr porterait atteinte. Le principe selon lequel le requérant doit attendre à l'étranger la décision lui délivrant une autorisation de séjour doit être appliqué de manière conforme aux droits fondamentaux. Dans l'intérêt de toutes les parties, les ordres de départ de Suisse et les interruptions de procédure disproportionnés ou chicaniers doivent être évités (art. 29 al. 1 Cst.) (ATF 139 I 37 consid. 2.2). Dès lors que l'art. 17 al. 2 LEtr exige que les conditions de délivrance de l'autorisation de séjour soient manifestement remplies, le requérant doit être autorisé à séjourner, respectivement poursuivre son séjour en Suisse lorsque les chances que l'autorisation soit délivrée apparaissent significativement plus élevées que celles de son refus (ATF 139 I 37 consid. 4.1). c)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à condition qu'il existe des indices concrets d'un mariage sérieusement voulu et imminent.</w:t>
      </w:r>
    </w:p>
    <w:p>
      <w:r>
        <w:rPr>
          <w:b/>
        </w:rPr>
        <w:t>E. 2</w:t>
      </w:r>
    </w:p>
    <w:p>
      <w:r>
        <w:t>En l'espèce, il convient de vérifier s'il apparaît clairement que le recourant, une fois marié, pourrait être admis à séjourner en Suisse. Cette question conduit à se demander si les conditions de fond qui président à l'octroi d'une autorisation de séjour "ordinaire", c'est-à-dire d'un titre non limité à la préparation et célébration du mariage, seraient réunies en cas de mariage. a) Sa fiancée étant titulaire d'une autorisation d'établissement, l'intéressé peut se prévaloir de l'art. 43 al. 1 LEtr. Selon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outre, le recourant peut se prévaloir de l'art. 8 par. 1 CEDH pour obtenir une autorisation de séjour, dès lors que sa future épouse bénéficie d'un droit de présence assuré en Suisse ( ATF 135 I 143 consid. 1.3.2 p. 146; 129 II 193 consid. 5.3.1 p. 211).</w:t>
      </w:r>
    </w:p>
    <w:p>
      <w:r>
        <w:rPr>
          <w:b/>
        </w:rPr>
        <w:t>E. 3</w:t>
      </w:r>
    </w:p>
    <w:p>
      <w:r>
        <w:t>a) Aux termes de l'art. 51 al. 2 LEtr, les droits prévus à l'art. 43 LEtr s'éteignent lorsqu'ils sont invoqués abusivement, notamment pour éluder les dispositions de la présente loi sur l'admission et le séjour ou ses dispositions d'exécution (let. a) ou s'il existe des motifs de révocation au sens de l'art. 62 LEtr (let. b). L'art. 62 LEtr prévoit que l’autorité compétente peut révoquer une autorisation, à l’exception de l’autorisation d’établissement, ou une autre décision fondée sur la présente loi, dans les cas suivants, à savoir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 b) L'art. 8 CEDH n'octroie pas davantage de droit absolu à l'entrée ou au séjour en Suisse de membres de la famille d'une personne ayant le droit de séjourner durablement dans ce pays.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Qu'il s'agisse de l'art. 62 LEtr ou de l'art. 8 par. 2 CEDH, le refus de l'autorisation de séjour, respectivement sa révocation, ne se justifie que si la pesée des intérêts à effectuer dans le cas d'espèce fait apparaître la mesure comme proportionnée aux circonstances ( ATF 135 II 377 consid. 4.3 p. 381). d)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(cf. ATF 125 II 633 consid. 3c p. 641; 122 II 1 consid. 3c p. 8; 119 Ib 81 consid. 2d p. 87). La notion d'assistance publique doit être interprétée dans un sens technique. 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125 II 633 consid. 3c; 122 II 1 consid. 3c p. 8; 119 Ib 1 consid. 3b et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(ATF 122 II 1 consid. 3c p. 8/9).</w:t>
      </w:r>
    </w:p>
    <w:p>
      <w:r>
        <w:rPr>
          <w:b/>
        </w:rPr>
        <w:t>E. 4</w:t>
      </w:r>
    </w:p>
    <w:p>
      <w:r>
        <w:t>En l'espèce, le SPOP a refusé d'accorder au recourant une autorisation de séjour temporaire en vue de mariage au motif que les deux fiancés étaient largement dépendants de l'aide sociale et que le recourant ne faisait état d'aucun contrat de travail. Au 30 mai 2013, la future épouse bénéficiait d'un revenu d'insertion mensuel de 420 fr. et avait obtenu au total un RI de l'ordre de 180'000 fr. Compte tenu de sa situation psychique, elle n'a jamais réellement exercé d'activité lucrative et a déposé une demande d'assurance-invalidité. A la même date, le recourant avait touché un revenu d'insertion de l'ordre de 450'000 fr. au total. Avec son recours, il a cependant produit une nouvelle pièce, à savoir une promesse ferme d'engagement, moyennant un salaire brut de 4'500 fr. Cet élément nouveau est décisif. En effet, une telle rémunération apparaît suffisante à assurer sa subsistance et celle de sa future épouse, partant est susceptible de conduire à lui accorder une autorisation de séjour ordinaire annuelle une fois le mariage célébré. En conséquence, compte tenu de cet élément nouveau, ainsi que du parcours particulier des fiancés, il ne se justifie pas de refuser au recourant une autorisation de séjour de courte durée en vue de mariage. Encore doit-on rappeler qu'une telle autorisation temporaire, délivrée afin de permettre aux fiancés de préparer et de célébrer leur mariage, ne constitue pas une garantie qu'une autorisation de séjour ordinaire annuelle sera accordée, respectivement renouvelée après la cérémonie, indépendamment de l'évolution de la situation du recourant. Le recourant devra démontrer au long cours qu'il exerce de manière assidue et régulière une activité lucrative assurant son autonomie financière. Si cette condition n'est pas réalisée, le SPOP sera susceptible de lui refuser la délivrance, respectivement le renouvellement d'une autorisation de séjour ordinaire annuelle.</w:t>
      </w:r>
    </w:p>
    <w:p>
      <w:r>
        <w:rPr>
          <w:b/>
        </w:rPr>
        <w:t>E. 5</w:t>
      </w:r>
    </w:p>
    <w:p>
      <w:r>
        <w:t>de la loi vaudoise du 28 octobre 2008 sur la procédure administrative [LPA-VD; RSV 173.36] ).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aa) Les frais judiciaires, qui comprennent l’émolument ordinaire, sont arrêtés à 500 fr. (art. 4 al. 1 du tarif du 11 décembre 2007 des frais judiciaires en matière de droit administratif et public [TFJAP; RSV 173.36.5.1] ). bb) Conformément à l'art. 45 de la loi du 24 septembre 2002 sur la profession d'avocat (LPAv; RSV 177.11) , l'avocat a droit a des honoraires fixés en tenant compte du temps consacré à l'exécution du mandat, des difficultés et des délais d'exécution de celui-ci, de l'importance des intérêts en cause, du résultat obtenu et de son expérience (cf. JdT 2006 III 38 consid. 2b; JdT 2003 III 67 consid. 1e; voir aussi ATF 4P.342/2006 du 5 mars 2007 consid. 4.1 et les arrêts cités). L’avocat d’office a droit au remboursement intégral des débours s’inscrivant dans le cadre de l’accomplissement normal de sa tâche; en outre, il a droit à une indemnité s’apparentant aux honoraires d’un avocat de choix, mais qui peut être inférieure à ceux-ci, soit dans la règle une rétribution d’au moins 180 fr. par heure, TVA non comprise.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117 Ia 22 consid. 3a; 109 Ia 107 consid. 3b; arrêt CDAP GE.2013.0069 du 11 mars 2014 consid. 2b; Denis Tappy, in: Code de procédure civile commenté, Bâle 2011, ad art. 122 n° 8, p. 502). L'avocat d'office ne saurait en revanche être rétribué pour des activités qui ne sont pas nécessaires à la défense des intérêts de l'assisté ou consistent en un soutien moral (ATF 109 Ia 107 consid. 3b p. 111; ATF 5P.462/2002 du 30 janvier 2003, consid. 2.3; 4C.236/1999 du 12 novembre 1999, consid. 2d/cc). Pour sa part, le règlement du 7 décembre 2010 sur l'assistance judiciaire en matière civile (RAJ; RSV 211.02.3) prévoit, à son art. 2 al. 1, que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Pour un avocat, il applique le tarif horaire de 180 fr. (let. a). Même si elles sont tenues par les principes susrappelés, les autorités cantonales n’en jouissent pas moins d’une importante marge d’appréciation lorsqu’elles fixent, dans une procédure, la rémunération de l’avocat d’office (ATF 5D_28/2014 du 26 mai 2014 consid. 2.1; 5P.291/2006 du 13 septembre 2006 consid. 3.2; 5P.462/2002 du 30 janvier 2003 consid. 2.1.2; arrêt CDAP GE.2013.0069 du 11 mars 2014 consid. 2b). En l'occurrence, l'avocat d'office du recourant a transmis sa liste des opérations le 17 octobre 2014. Le nombre d'heures y figurant, soit 12h (dont 4h30 de téléphones, correspondances et conférences, le solde étant consacré sans distinction aux photocopies, étude du dossier et suivi, recherches juridiques, rédaction et dépôt d'un recours) apparaît toutefois largement excessif au vu de la teneur du recours et de la complexité de la cause, d'autant plus que le mandataire connaissait déjà la situation du recourant, puisqu'il l'avait assisté dans l'affaire précédente, connexe, GE.2013.0014. Le tribunal estime par conséquent que l'ensemble du temps consacré ne devrait pas dépasser 8h. Il sera en revanche ajouté une indemnité forfaitaire de débours de 100 fr. (art. 3 al. 3 RAJ). L'indemnité de Me Georges Reymond peut ainsi être arrêtée à un montant total de 1'663,20 fr., correspondant à 1'440 fr. à titre d'honoraires (8h x 180 fr.), 100 fr. de débours (indemnité forfaitaire) et 123,20 fr. de TVA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