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PE.2014.0156 vom 4. Mai 2015</w:t>
      </w:r>
    </w:p>
    <w:p>
      <w:r>
        <w:t>VD Tribunal cantonal, 2015-05-04, FR</w:t>
      </w:r>
    </w:p>
    <w:p>
      <w:r>
        <w:rPr>
          <w:b/>
        </w:rPr>
        <w:t xml:space="preserve">Quelle: </w:t>
      </w:r>
      <w:r>
        <w:t>https://mcp.opencaselaw.ch/entscheid/vd_omni_PE.2014.0156</w:t>
      </w:r>
    </w:p>
    <w:p>
      <w:r>
        <w:t>FR: VD_OMNI PE.2014.0156 du 4 mai 2015</w:t>
      </w:r>
    </w:p>
    <w:p>
      <w:r>
        <w:t>IT: VD_OMNI PE.2014.0156 del 4 maggio 2015</w:t>
      </w:r>
    </w:p>
    <w:p>
      <w:pPr>
        <w:pStyle w:val="Heading2"/>
      </w:pPr>
      <w:r>
        <w:t>Regeste</w:t>
      </w:r>
    </w:p>
    <w:p>
      <w:r>
        <w:t>A. X.________ /Service de la population (SPOP) | Recours rejeté contre une décision refusant de renouveler une autorisation de séjour par regroupement familial. D'une part, la durée de l'union conjugale a duré moins de trois ans. D'autre part, la recourante a échoué dans la preuve à apporter visant à établir les violences conjugales alléguées. Enfin, la réintégration de la recourante dans son pays d'origine ne paraît pas être fortement compromise. Recours au TF rejeté (2C_500/2015 du 23 octobre 2015).</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(art. 79 al. 1 LPA-VD, applicable par renvoi de l'art. 99 LPA-VD), de sorte qu'il y a lieu d'entrer en matière sur le fond.</w:t>
      </w:r>
    </w:p>
    <w:p>
      <w:r>
        <w:rPr>
          <w:b/>
        </w:rPr>
        <w:t>E. 2</w:t>
      </w:r>
    </w:p>
    <w:p>
      <w:r>
        <w:t>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134 I 140 consid. 5.2.; 130 II 425 consid. 2.1). Le droit d'être entendu prévu par l'art. 29 al. 2 Cst. comprend aussi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 232 consid. 5.1; 137 II 266 consid. 3.2;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RDAF 2009 II p. 434). b) La recourante se plaint que l'autorité intimée n'aurait pas administré les preuves requises (production du rapport de police et du rapport médical du médecin psychiatre de son époux). Elle se plaint en outre d'un défaut de motivation de la décision entreprise. La recourante a allégué qu'elle aurait été victime de violences conjugales de la part de son époux, qui seraient en lien avec sa consommation de drogue. Pour établir ces faits, la recourante a requis la production du dossier de son mari auprès des autorités pénales ainsi que la production du rapport médical auprès du médecin psychiatre de ce dernier. La recourante ne démontre en revanche pas en quoi ces réquisitions de preuves seraient déterminantes. De son propre aveu, la recourante n'a jamais déposé de plainte pénale à l'encontre de son mari. Son époux a par ailleurs admis avoir connu des problèmes de toxicomanie. Il ressort en outre des déclarations de la recourante à la police, le 23 avril 2013, qu'elle nie avoir fait l'objet de violences de la part de son mari. Dans ces circonstances, l'autorité intimée était fondée à ne pas donner suite aux offres de preuve précitées qui ne semblaient pas concluantes au regard des circonstances. Quant au grief de motivation insuffisante, la décision entreprise est certes succincte mais indique clairement les motifs qui l'ont fondée, à savoir la dissolution de l'union conjugale et l'absence de circonstances personnelles majeures. Enfin, la lettre d'B. X.________ qui demande pardon à son épouse, n'apporte pas plus d'élément probant quant aux violences alléguées puisque cette lettre ne permet pas de comprendre sur quels faits précis portent la demande de pardon. L'autorité intimée n'avait donc pas besoin de discuter plus avant de ce moyen de preuve avancé par la recourante. Le grief de violation du droit d'être entendu est dès lors mal fondé et doit être rejeté.</w:t>
      </w:r>
    </w:p>
    <w:p>
      <w:r>
        <w:rPr>
          <w:b/>
        </w:rPr>
        <w:t>E. 3</w:t>
      </w:r>
    </w:p>
    <w:p>
      <w:r>
        <w:t>La recourante se plaint du refus de renouvellement de son autorisation de séjour. En particulier, la recourante se prévaut de raisons personnelles majeures pour les violences dont elle aurait fait l'objet de la part de son époux. a) L'art. 43 al. 1 LEtr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Dans le cas d'espèce, les époux X.________ ne font plus ménage commun depuis le mois de mars 2012. Le divorce a été prononcé en Serbie le ******** 2012. La recourante ne peut donc plus de prévaloir de cette disposition. b) L'art. 50 al. 1 et 2 LEtr prévoit ce qui suit: " 1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b.la poursuite du séjour en Suisse s'impose pour des raisons personnelles majeures. 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 durée de la communauté conjugale d'au moins trois ans se calcule depuis le date du mariage, à condition que la cohabitation ait lieu en Suisse, jusqu'à ce que les époux cessent d'habiter sous le même toit (ATF 136 III 133 consid. 3.2 et 3.3). La durée de trois ans vaut de façon absolue, quand bien même la fin de la vie conjugale serait intervenue quelques jours ou semaines seulement avant l'expiration de ce délai (TF 2C_735/2010 du 1 er février 2011 consid. 4.1). En l'occurrence, la recourante est arrivée en Suisse le 2 avril 2009 et a cessé de cohabiter avec son époux en mars 2012. Au vu de la jurisprudence précitée, la durée de la communauté conjugale a duré moins de trois ans. La première condition de l'art. 50 al. 1 let. a LEtr, qui est cumulative, faisant défaut, il reste à examiner si les conditions de l'art. 50 al. 1 let. b LEtr sont réalisées. c) Dans le cadre de l'art. 50 al. 1 let. b LEtr,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137 II 345 consid. 3.2.1; 137 II 1 consid. 3).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3.1). L'art. 50 al. 1 let. b et al. 2 LEtr n'est pas exhaustif et laisse aux autorités une certaine liberté d'appréciation humanitaire (TF 2C_216/2009 du 20 août 2009 consid. 2.1).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(TF 2C 554/209 du 12 mars 2010 consid. 2.1). 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(TF 2C_500/2014 du 18 juillet 2014 consid. 7.1; 2C_1188/2012 du 17 avril 2013 consid. 4.1). d) En l'espèce, la recourante se prévaut de raisons personnelles majeures, eu égard aux violences conjugales alléguées. Ces violences n'ont néanmoins pas été prouvées. En effet, comme indiqué ci-dessus, la lettre manuscrite non-datée écrite par l'époux de la recourante et produite par cette dernière est une lettre de pardon qui ne permet pas de comprendre sur quels faits portent la demande de pardon. Elle ne suffit pas à démontrer l'existence des violences précitées. Quant aux réquisitions de preuves, celles-ci ne sont pas non plus susceptibles d'établir de telles violences. En effet, à supposer que la levée du secret médical du médecin psychiatre de l'époux puisse être obtenu, les déclarations de ce médecin ne sont pas encore de nature à établir avec certitude l'existence de violences conjugales. Enfin, la recourante a indiqué ne pas avoir déposé de plainte pénale contre son mari, donc sur ce point également la production du dossier pénal de son époux n'apparaît pas déterminant. Ainsi, la Cour ne peut pas tenir les violences alléguées pour établies. A toutes fins utiles, le Tribunal rappelle qu'en matière administrative, les faits doivent en principe être établis d'office (cf. art. 28 al. 1 LPA-VD) et, dans la mesure où l'on peut raisonnablement exiger de l'autorité qu'elle procède à cette recherche, les règles sur la répartition du fardeau de la preuve ne s'appliquent pas. Toutefois, les parties sont tenues de collaborer à la constatation des faits dans une procédure qu'elles introduisent elles-mêmes (art. 30 LPA-VD). Lorsque les preuves font défaut, ou si l'on ne peut raisonnablement exiger de l'autorité qu'elle les recueille, la règle de l'art. 8 CC est applicable par analogie (ATF 112 Ib 65 consid. 3 ). Pour les faits constitutifs d'un droit - donc le droit à l'octroi d'une autorisation de séjour et à sa prolongation -, le fardeau de la preuve incombe au requérant (ATF 106 Ib 75 consid. 5). Ces principes doivent cependant s'appliquer conformément aux règles de la bonne foi. Ainsi, l'administration ne saurait faire supporter à l'administré les conséquences de la répartition du fardeau de la preuve, lorsque l'intéressé n'a aucune raison de savoir sur quel point particulier on attend de lui une preuve. Tel n'a pas été le cas en l'espèce: l'autorité intimée a indiqué d'emblée, puis précisé en cours d'instruction, les preuves qu'elle exigeait. Cette conclusion est d'autant plus justifiée par les faits litigieux de nature éminemment personnels que l'administration ne pourrait pas connaître, ou seulement à des frais excessifs (cf. Moor/Poltier, Droit administratif vol. II, Berne 2011, p. 295). Ainsi, au regard de ce qui précède, la Cour ne peut retenir l'existence de raisons personnelles majeures au sens de l'art. 50 al. 1 let. b LEtr. e) Quant à la réintégration de la recourante dans son pays d'origine, celle-ci est arrivée en Suisse il y a six ans, alors qu'elle était âgée de 20 ans. Jusqu'à cette date, la recourante a vécu dans son pays d'origine. Elle y conserve ses attaches principales, sa famille y vivant encore aujourd'hui. Au demeurant, la recourante indique elle-même qu'elle serait retournée dans son pays d'origine peu après la séparation, certes sur pression de son mari. Ainsi, même si l'on devait admettre que sa séparation d'avec son époux pourrait être mal perçue par ses proches, on ne saurait encore considérer que cela serait de nature à mettre en péril sa réintégration dans son pays d'origine. Partant, c'est à juste titre que l'autorité intimée a retenu que les conditions de l'art. 50 al. 1 let. b LEtr n'étaient pas réalisées. Le grief de la violation de l'art. 50 LEtr doit donc être rejeté.</w:t>
      </w:r>
    </w:p>
    <w:p>
      <w:r>
        <w:rPr>
          <w:b/>
        </w:rPr>
        <w:t>E. 4</w:t>
      </w:r>
    </w:p>
    <w:p>
      <w:r>
        <w:t>La recourante ne peut enfin pas se prévaloir, et ne l'allègue d'ailleurs pas, de qualifications personnelles au sens de l'art. 23 LEtr, ni d’un cas de rigueur au sens de l'art. 30 LEtr. C'est donc a bon droit que le SPOP a refusé le renouvellement de son titre de séjour à la recourante et a prononcé son renvoi de Suisse.</w:t>
      </w:r>
    </w:p>
    <w:p>
      <w:r>
        <w:rPr>
          <w:b/>
        </w:rPr>
        <w:t>E. 5</w:t>
      </w:r>
    </w:p>
    <w:p>
      <w:r>
        <w:t>Les considérants qui précèdent conduisent le Tribunal à rejeter le recours et à confirmer la décision attaquée. Les frais sont mis à la charge de la recourante, qui succombe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